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val="false"/>
          <w:bCs w:val="false"/>
          <w:i w:val="false"/>
          <w:iCs w:val="false"/>
          <w:color w:val="1A1A1A"/>
          <w:spacing w:val="120"/>
          <w:sz w:val="52"/>
          <w:szCs w:val="52"/>
        </w:rPr>
        <w:t xml:space="preserve">MAX MIHIR OZA</w:t>
      </w:r>
    </w:p>
    <w:p>
      <w:pPr>
        <w:spacing w:after="60" w:before="0"/>
        <w:jc w:val="center"/>
      </w:pPr>
      <w:r>
        <w:rPr>
          <w:rFonts w:ascii="Garamond" w:cs="Garamond" w:eastAsia="Garamond" w:hAnsi="Garamond"/>
          <w:b w:val="false"/>
          <w:bCs w:val="false"/>
          <w:i/>
          <w:iCs/>
          <w:color w:val="888888"/>
          <w:sz w:val="20"/>
          <w:szCs w:val="20"/>
        </w:rPr>
        <w:t xml:space="preserve">Media, Publishing &amp; Communications Operations  ·  Scholar-Practitioner in Higher Education</w:t>
      </w:r>
    </w:p>
    <w:p>
      <w:pPr>
        <w:spacing w:after="100" w:before="0"/>
        <w:jc w:val="center"/>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80" w:before="80"/>
      </w:pP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PROFILE</w:t>
      </w:r>
    </w:p>
    <w:p>
      <w:pPr>
        <w:spacing w:after="60" w:before="100"/>
      </w:pPr>
      <w:r>
        <w:rPr>
          <w:rFonts w:ascii="Garamond" w:cs="Garamond" w:eastAsia="Garamond" w:hAnsi="Garamond"/>
          <w:b w:val="false"/>
          <w:bCs w:val="false"/>
          <w:i w:val="false"/>
          <w:iCs w:val="false"/>
          <w:color w:val="555555"/>
          <w:sz w:val="20"/>
          <w:szCs w:val="20"/>
        </w:rPr>
        <w:t xml:space="preserve">Media and publishing operations professional with 13+ years in operations and program management, including four years inside publishing and advertising organizations — three years as Senior PM and Technical Lead at Mangu Publishers, where standardized knowledge management and records infrastructure retired 30+ outdated materials and improved information retrieval efficiency by 50%, and a year inside the Interpublic Group of Companies delivering enterprise platforms for 600 users across subsidiary agencies. Bachelor of Science in Business Administration, Marketing; completing an MBA in Organizational Management with a 3.87 GPA.</w:t>
      </w:r>
    </w:p>
    <w:p>
      <w:pPr>
        <w:spacing w:after="60" w:before="100"/>
      </w:pPr>
      <w:r>
        <w:rPr>
          <w:rFonts w:ascii="Garamond" w:cs="Garamond" w:eastAsia="Garamond" w:hAnsi="Garamond"/>
          <w:b w:val="false"/>
          <w:bCs w:val="false"/>
          <w:i w:val="false"/>
          <w:iCs w:val="false"/>
          <w:color w:val="555555"/>
          <w:sz w:val="20"/>
          <w:szCs w:val="20"/>
        </w:rPr>
        <w:t xml:space="preserve">Direct instructional-support experience across the full course lifecycle for two high-enrollment courses of 200+ students per semester — LMS administration in Canvas and Brightspace, assessment design, grading workflows, and first-contact student inquiry triage — alongside graduate research practice in systematic literature review, source evaluation, and translating quantitative and qualitative evidence into written recommendations. Begins the Ph.D. in Higher Education Leadership, Management and Policy at Seton Hall in Fall 2026.</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EDUCATION</w:t>
      </w:r>
    </w:p>
    <w:p>
      <w:pPr>
        <w:tabs>
          <w:tab w:val="right" w:pos="10100"/>
        </w:tabs>
        <w:spacing w:after="20" w:before="160"/>
      </w:pPr>
      <w:r>
        <w:rPr>
          <w:rFonts w:ascii="Garamond" w:cs="Garamond" w:eastAsia="Garamond" w:hAnsi="Garamond"/>
          <w:b/>
          <w:bCs/>
          <w:i w:val="false"/>
          <w:iCs w:val="false"/>
          <w:color w:val="1A1A1A"/>
          <w:sz w:val="22"/>
          <w:szCs w:val="22"/>
        </w:rPr>
        <w:t xml:space="preserve">Ph.D. in Higher Education Leadership, Management and Policy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Enrolled Fall 2026</w:t>
      </w:r>
    </w:p>
    <w:p>
      <w:pPr>
        <w:spacing w:after="20" w:before="0"/>
      </w:pPr>
      <w:r>
        <w:rPr>
          <w:rFonts w:ascii="Garamond" w:cs="Garamond" w:eastAsia="Garamond" w:hAnsi="Garamond"/>
          <w:b w:val="false"/>
          <w:bCs w:val="false"/>
          <w:i/>
          <w:iCs/>
          <w:color w:val="555555"/>
          <w:sz w:val="20"/>
          <w:szCs w:val="20"/>
        </w:rPr>
        <w:t xml:space="preserve">Seton Hall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South Orange, NJ</w:t>
      </w:r>
    </w:p>
    <w:p>
      <w:pPr>
        <w:tabs>
          <w:tab w:val="right" w:pos="10100"/>
        </w:tabs>
        <w:spacing w:after="20" w:before="160"/>
      </w:pPr>
      <w:r>
        <w:rPr>
          <w:rFonts w:ascii="Garamond" w:cs="Garamond" w:eastAsia="Garamond" w:hAnsi="Garamond"/>
          <w:b/>
          <w:bCs/>
          <w:i w:val="false"/>
          <w:iCs w:val="false"/>
          <w:color w:val="1A1A1A"/>
          <w:sz w:val="22"/>
          <w:szCs w:val="22"/>
        </w:rPr>
        <w:t xml:space="preserve">Master of Business Administration, Organizational Management</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Expected Fall 2026</w:t>
      </w:r>
    </w:p>
    <w:p>
      <w:pPr>
        <w:spacing w:after="20" w:before="0"/>
      </w:pP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p>
    <w:p>
      <w:pPr>
        <w:spacing w:after="20" w:before="0"/>
      </w:pPr>
      <w:r>
        <w:rPr>
          <w:rFonts w:ascii="Garamond" w:cs="Garamond" w:eastAsia="Garamond" w:hAnsi="Garamond"/>
          <w:b w:val="false"/>
          <w:bCs w:val="false"/>
          <w:i w:val="false"/>
          <w:iCs w:val="false"/>
          <w:color w:val="888888"/>
          <w:sz w:val="19"/>
          <w:szCs w:val="19"/>
        </w:rPr>
        <w:t xml:space="preserve">GPA: 3.87 / 4.0   ·   Concentrations: Human Resources · Artificial Intelligence · Sustainable Development</w:t>
      </w:r>
    </w:p>
    <w:p>
      <w:pPr>
        <w:spacing w:after="20" w:before="0"/>
      </w:pPr>
      <w:r>
        <w:rPr>
          <w:rFonts w:ascii="Garamond" w:cs="Garamond" w:eastAsia="Garamond" w:hAnsi="Garamond"/>
          <w:b w:val="false"/>
          <w:bCs w:val="false"/>
          <w:i w:val="false"/>
          <w:iCs w:val="false"/>
          <w:color w:val="888888"/>
          <w:sz w:val="19"/>
          <w:szCs w:val="19"/>
        </w:rPr>
        <w:t xml:space="preserve">Relevant coursework: Organizational Change &amp; Development · Data Analytics for Decision-Making · Technology Strategy · Research Methods</w:t>
      </w:r>
    </w:p>
    <w:p>
      <w:pPr>
        <w:tabs>
          <w:tab w:val="right" w:pos="10100"/>
        </w:tabs>
        <w:spacing w:after="20" w:before="160"/>
      </w:pPr>
      <w:r>
        <w:rPr>
          <w:rFonts w:ascii="Garamond" w:cs="Garamond" w:eastAsia="Garamond" w:hAnsi="Garamond"/>
          <w:b/>
          <w:bCs/>
          <w:i w:val="false"/>
          <w:iCs w:val="false"/>
          <w:color w:val="1A1A1A"/>
          <w:sz w:val="22"/>
          <w:szCs w:val="22"/>
        </w:rPr>
        <w:t xml:space="preserve">Bachelor of Science in Business Administration, Marketing</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2010</w:t>
      </w:r>
    </w:p>
    <w:p>
      <w:pPr>
        <w:spacing w:after="20" w:before="0"/>
      </w:pPr>
      <w:r>
        <w:rPr>
          <w:rFonts w:ascii="Garamond" w:cs="Garamond" w:eastAsia="Garamond" w:hAnsi="Garamond"/>
          <w:b w:val="false"/>
          <w:bCs w:val="false"/>
          <w:i/>
          <w:iCs/>
          <w:color w:val="555555"/>
          <w:sz w:val="20"/>
          <w:szCs w:val="20"/>
        </w:rPr>
        <w:t xml:space="preserve">Drexel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Philadelphia, PA</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HIGHER EDUCATION EXPERIENCE</w:t>
      </w:r>
    </w:p>
    <w:p>
      <w:pPr>
        <w:tabs>
          <w:tab w:val="right" w:pos="10100"/>
        </w:tabs>
        <w:spacing w:after="40" w:before="160"/>
      </w:pPr>
      <w:r>
        <w:rPr>
          <w:rFonts w:ascii="Garamond" w:cs="Garamond" w:eastAsia="Garamond" w:hAnsi="Garamond"/>
          <w:b/>
          <w:bCs/>
          <w:i w:val="false"/>
          <w:iCs w:val="false"/>
          <w:color w:val="1A1A1A"/>
          <w:sz w:val="22"/>
          <w:szCs w:val="22"/>
        </w:rPr>
        <w:t xml:space="preserve">Graduate Assistant — Academic &amp; Course Support</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May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Managed full course lifecycle across two high-enrollment courses (200+ students per semester) — LMS administration (Canvas / Brightspace), section setup, enrollment monitoring, textbook procurement, and academic records maintenance.</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Served as first point of contact for student inquiries; triaged routine questions, escalated complex cases to faculty, and coordinated referrals to advising offices, tracking each item through resolution.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Supported assessment design, grading workflows, grade-change documentation, and academic progress monitoring in close collaboration with course faculty.</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Handled student records and performance data with strict confidentiality; surfaced at-risk students through trend analysis and produced formal reports informing targeted instructional interventions.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OPERATIONS &amp; ADMINISTRATIVE EXPERIENCE</w:t>
      </w:r>
    </w:p>
    <w:p>
      <w:pPr>
        <w:tabs>
          <w:tab w:val="right" w:pos="10100"/>
        </w:tabs>
        <w:spacing w:after="40" w:before="160"/>
      </w:pPr>
      <w:r>
        <w:rPr>
          <w:rFonts w:ascii="Garamond" w:cs="Garamond" w:eastAsia="Garamond" w:hAnsi="Garamond"/>
          <w:b/>
          <w:bCs/>
          <w:i w:val="false"/>
          <w:iCs w:val="false"/>
          <w:color w:val="1A1A1A"/>
          <w:sz w:val="22"/>
          <w:szCs w:val="22"/>
        </w:rPr>
        <w:t xml:space="preserve">Senior PM &amp; Technical Lead</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Mangu Publishers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Jan 2023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Led full lifecycle implementation of a resource-matching platform; conducted intake sessions with 50+ stakeholders and delivered 12 enhancements across six cycles.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Built standardized knowledge management and records infrastructure — retiring 30+ outdated materials and improving information retrieval efficiency by 50%.</w:t>
      </w:r>
    </w:p>
    <w:p>
      <w:pPr>
        <w:tabs>
          <w:tab w:val="right" w:pos="10100"/>
        </w:tabs>
        <w:spacing w:after="40" w:before="160"/>
      </w:pPr>
      <w:r>
        <w:rPr>
          <w:rFonts w:ascii="Garamond" w:cs="Garamond" w:eastAsia="Garamond" w:hAnsi="Garamond"/>
          <w:b/>
          <w:bCs/>
          <w:i w:val="false"/>
          <w:iCs w:val="false"/>
          <w:color w:val="1A1A1A"/>
          <w:sz w:val="22"/>
          <w:szCs w:val="22"/>
        </w:rPr>
        <w:t xml:space="preserve">Technical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Interpublic Group of Companies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Jersey City,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2023</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Coordinated enterprise system implementations (Salesforce, Microsoft Dynamics 365, Maximo, Active Directory) for 600 users across multiple subsidiary agencies.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platform migration projects 75% ahead of schedule; facilitated monthly executive briefings and maintained status trackers for senior leadership.</w:t>
      </w:r>
    </w:p>
    <w:p>
      <w:pPr>
        <w:tabs>
          <w:tab w:val="right" w:pos="10100"/>
        </w:tabs>
        <w:spacing w:after="40" w:before="160"/>
      </w:pPr>
      <w:r>
        <w:rPr>
          <w:rFonts w:ascii="Garamond" w:cs="Garamond" w:eastAsia="Garamond" w:hAnsi="Garamond"/>
          <w:b/>
          <w:bCs/>
          <w:i w:val="false"/>
          <w:iCs w:val="false"/>
          <w:color w:val="1A1A1A"/>
          <w:sz w:val="22"/>
          <w:szCs w:val="22"/>
        </w:rPr>
        <w:t xml:space="preserve">Program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HCL Americas (Becton Dickinson &amp; Bristol Myers Squibb)</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Franklin Lakes,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Apr 2021 – Aug 2022</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Designed submission and approval automation across 49 business lines, eliminating manual intake processes and generating $10M in documented annual savings.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Directed three cloud migration projects and a 10,000-user client migration; established centralized KPI reporting dashboards for executive decision-making.</w:t>
      </w:r>
    </w:p>
    <w:p>
      <w:pPr>
        <w:tabs>
          <w:tab w:val="right" w:pos="10100"/>
        </w:tabs>
        <w:spacing w:after="40" w:before="160"/>
      </w:pPr>
      <w:r>
        <w:rPr>
          <w:rFonts w:ascii="Garamond" w:cs="Garamond" w:eastAsia="Garamond" w:hAnsi="Garamond"/>
          <w:b/>
          <w:bCs/>
          <w:i w:val="false"/>
          <w:iCs w:val="false"/>
          <w:color w:val="1A1A1A"/>
          <w:sz w:val="22"/>
          <w:szCs w:val="22"/>
        </w:rPr>
        <w:t xml:space="preserve">Senior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Millennium Systems International</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Nov 2019 – Dec 2020</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Chaired a $50M annual budget committee — reviewing spend, vendor commitments, and funding priorities; achieved 90% quarterly deliverable completion.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Increased development productivity 45% through workflow optimization; served as Scrum Master across three annual releases.</w:t>
      </w:r>
    </w:p>
    <w:p>
      <w:pPr>
        <w:tabs>
          <w:tab w:val="right" w:pos="10100"/>
        </w:tabs>
        <w:spacing w:after="40" w:before="160"/>
      </w:pPr>
      <w:r>
        <w:rPr>
          <w:rFonts w:ascii="Garamond" w:cs="Garamond" w:eastAsia="Garamond" w:hAnsi="Garamond"/>
          <w:b/>
          <w:bCs/>
          <w:i w:val="false"/>
          <w:iCs w:val="false"/>
          <w:color w:val="1A1A1A"/>
          <w:sz w:val="22"/>
          <w:szCs w:val="22"/>
        </w:rPr>
        <w:t xml:space="preserve">Senior Technical Product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Société Générale</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New York, NY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Sep 2017 – Oct 2019</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federally mandated regulatory reports six weeks ahead of schedule within a $1.5M budget.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Scaled a team from 6 to 55 — managing hiring documentation, onboarding, coverage planning, and timekeeping — realizing $800K in operational savings.</w:t>
      </w:r>
    </w:p>
    <w:p>
      <w:pPr>
        <w:spacing w:after="20" w:before="120"/>
      </w:pPr>
      <w:r>
        <w:rPr>
          <w:rFonts w:ascii="Garamond" w:cs="Garamond" w:eastAsia="Garamond" w:hAnsi="Garamond"/>
          <w:b w:val="false"/>
          <w:bCs w:val="false"/>
          <w:i w:val="false"/>
          <w:iCs w:val="false"/>
          <w:color w:val="888888"/>
          <w:sz w:val="19"/>
          <w:szCs w:val="19"/>
        </w:rPr>
        <w:t xml:space="preserve">Earlier Roles: Technical Project Manager, progressive responsibilities — Mizuho Bank, Jersey City, NJ (2016–2017)  ·  L'Oréal USA, Berkeley Heights, NJ (2015)  ·  Investors Bank, Short Hills, NJ (2013–2015)  ·  Financial Executives International, Morristown, NJ (2011–2013)</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RESEARCH &amp; SCHOLARLY ENGAGEMENT</w:t>
      </w:r>
    </w:p>
    <w:p>
      <w:pPr>
        <w:tabs>
          <w:tab w:val="right" w:pos="10100"/>
        </w:tabs>
        <w:spacing w:after="40" w:before="160"/>
      </w:pPr>
      <w:r>
        <w:rPr>
          <w:rFonts w:ascii="Garamond" w:cs="Garamond" w:eastAsia="Garamond" w:hAnsi="Garamond"/>
          <w:b/>
          <w:bCs/>
          <w:i w:val="false"/>
          <w:iCs w:val="false"/>
          <w:color w:val="1A1A1A"/>
          <w:sz w:val="22"/>
          <w:szCs w:val="22"/>
        </w:rPr>
        <w:t xml:space="preserve">Graduate Research — MBA Program</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2024 – Present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Executed systematic literature reviews on organizational change, digital transformation, and student success frameworks in postsecondary education — source identification, evaluation, and synthesis into written argument.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Conducted applied research on technology adoption and engagement patterns among adult learners within LMS environments; findings informed recommendations on institutional effectiveness and platform optimization.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Developed data-informed policy recommendations integrating quantitative usage data with qualitative stakeholder analysis to improve support delivery for non-traditional students.</w:t>
      </w:r>
    </w:p>
    <w:p>
      <w:pPr>
        <w:spacing w:after="20" w:before="120"/>
      </w:pPr>
      <w:r>
        <w:rPr>
          <w:rFonts w:ascii="Garamond" w:cs="Garamond" w:eastAsia="Garamond" w:hAnsi="Garamond"/>
          <w:b w:val="false"/>
          <w:bCs w:val="false"/>
          <w:i w:val="false"/>
          <w:iCs w:val="false"/>
          <w:color w:val="888888"/>
          <w:sz w:val="19"/>
          <w:szCs w:val="19"/>
        </w:rPr>
        <w:t xml:space="preserve">Research interests: Digital transformation in postsecondary institutions  ·  Media, information access, and knowledge management  ·  Data-informed decision-making and continuous improvement  ·  Non-traditional student persistence and service delivery equity</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SKILLS &amp; SYSTEMS</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Publishing Operations &amp; Platform Delivery</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Media &amp; Communications Industry Operations (Interpublic Group)</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Research Methods &amp; Systematic Literature Review</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Knowledge Management, Records &amp; Information Retrieval</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Data Analysis &amp; Reporting (Power BI, Tableau)</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Academic Operations &amp; Course Lifecycle Support</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LMS &amp; Student Platforms (Canvas, Brightspace, Moodle)</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Assessment Design, Grading &amp; Feedback Workflows</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Student Inquiry Triage &amp; Advising Referral</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Stakeholder, Faculty &amp; Executive Communication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SOPs, Trackers &amp; Process Documentation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Confidential &amp; FERPA-Sensitive Records Handling</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Applied Institutional Analytics &amp; Research Design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(Agile, Scrum, Waterfall; PMP in progress)</w:t>
            </w:r>
          </w:p>
        </w:tc>
      </w:tr>
    </w:tbl>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CERTIFICATIONS &amp; AFFILIATIONS</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Institute (PMI) — NJ Chapter Member &amp; Volunteer, 2024–Present</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Engineering Bootcamp — General Assembly, 2025</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Goode Education Group — Clean Energy Program Fellow, 2024</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Building Science Principles — Building Performance Institute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ADDITIONAL</w:t>
      </w:r>
    </w:p>
    <w:p>
      <w:pPr>
        <w:spacing w:after="20" w:before="100"/>
      </w:pPr>
      <w:r>
        <w:rPr>
          <w:rFonts w:ascii="Garamond" w:cs="Garamond" w:eastAsia="Garamond" w:hAnsi="Garamond"/>
          <w:b w:val="false"/>
          <w:bCs w:val="false"/>
          <w:i w:val="false"/>
          <w:iCs w:val="false"/>
          <w:color w:val="555555"/>
          <w:sz w:val="19"/>
          <w:szCs w:val="19"/>
        </w:rPr>
        <w:t xml:space="preserve">Martial Arts — Jeet Kune Do (Fist of Interception Institute), Level 3 student under Vincent Benitez</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2026-08-14T04:44:38.700Z</dcterms:created>
  <dcterms:modified xsi:type="dcterms:W3CDTF">2026-08-14T04:44:38.701Z</dcterms:modified>
</cp:coreProperties>
</file>

<file path=docProps/custom.xml><?xml version="1.0" encoding="utf-8"?>
<Properties xmlns="http://schemas.openxmlformats.org/officeDocument/2006/custom-properties" xmlns:vt="http://schemas.openxmlformats.org/officeDocument/2006/docPropsVTypes"/>
</file>