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val="false"/>
          <w:bCs w:val="false"/>
          <w:i w:val="false"/>
          <w:iCs w:val="false"/>
          <w:color w:val="1A1A1A"/>
          <w:spacing w:val="120"/>
          <w:sz w:val="52"/>
          <w:szCs w:val="52"/>
        </w:rPr>
        <w:t xml:space="preserve">MAX MIHIR OZA</w:t>
      </w:r>
    </w:p>
    <w:p>
      <w:pPr>
        <w:spacing w:after="60" w:before="0"/>
        <w:jc w:val="center"/>
      </w:pPr>
      <w:r>
        <w:rPr>
          <w:rFonts w:ascii="Garamond" w:cs="Garamond" w:eastAsia="Garamond" w:hAnsi="Garamond"/>
          <w:b w:val="false"/>
          <w:bCs w:val="false"/>
          <w:i/>
          <w:iCs/>
          <w:color w:val="888888"/>
          <w:sz w:val="20"/>
          <w:szCs w:val="20"/>
        </w:rPr>
        <w:t xml:space="preserve">Media &amp; Publishing Operations  ·  Course Instruction Support &amp; Higher Education Research</w:t>
      </w:r>
    </w:p>
    <w:p>
      <w:pPr>
        <w:spacing w:after="100" w:before="0"/>
        <w:jc w:val="center"/>
      </w:pPr>
      <w:r>
        <w:rPr>
          <w:rFonts w:ascii="Calibri" w:cs="Calibri" w:eastAsia="Calibri" w:hAnsi="Calibri"/>
          <w:b w:val="false"/>
          <w:bCs w:val="false"/>
          <w:i w:val="false"/>
          <w:iCs w:val="false"/>
          <w:color w:val="888888"/>
          <w:sz w:val="18"/>
          <w:szCs w:val="18"/>
        </w:rPr>
        <w:t xml:space="preserve">Parsippany, NJ</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(201) 247-1371</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ozamihir@shu.edu</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linkedin.com/in/mihir-oza</w:t>
      </w:r>
    </w:p>
    <w:p>
      <w:pPr>
        <w:pBdr>
          <w:bottom w:val="single" w:color="CCCCCC" w:sz="6"/>
        </w:pBdr>
        <w:spacing w:after="80" w:before="80"/>
      </w:pP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PROFILE</w:t>
      </w:r>
    </w:p>
    <w:p>
      <w:pPr>
        <w:spacing w:after="60" w:before="100"/>
      </w:pPr>
      <w:r>
        <w:rPr>
          <w:rFonts w:ascii="Garamond" w:cs="Garamond" w:eastAsia="Garamond" w:hAnsi="Garamond"/>
          <w:b w:val="false"/>
          <w:bCs w:val="false"/>
          <w:i w:val="false"/>
          <w:iCs w:val="false"/>
          <w:color w:val="555555"/>
          <w:sz w:val="20"/>
          <w:szCs w:val="20"/>
        </w:rPr>
        <w:t xml:space="preserve">Incoming Seton Hall doctoral student in Higher Education Leadership, Management and Policy with direct experience in instructional settings: as a Graduate Assistant he carried assessment design, grading workflows, LMS administration in Canvas and Brightspace, and first-contact student support across two high-enrollment undergraduate courses serving 200+ students per semester. Currently completing an MBA with a 3.87 GPA.</w:t>
      </w:r>
    </w:p>
    <w:p>
      <w:pPr>
        <w:spacing w:after="60" w:before="100"/>
      </w:pPr>
      <w:r>
        <w:rPr>
          <w:rFonts w:ascii="Garamond" w:cs="Garamond" w:eastAsia="Garamond" w:hAnsi="Garamond"/>
          <w:b w:val="false"/>
          <w:bCs w:val="false"/>
          <w:i w:val="false"/>
          <w:iCs w:val="false"/>
          <w:color w:val="555555"/>
          <w:sz w:val="20"/>
          <w:szCs w:val="20"/>
        </w:rPr>
        <w:t xml:space="preserve">Thirteen-plus years of operations and program leadership inside media organizations — Senior PM and Technical Lead at Mangu Publishers and technical project manager across the subsidiary agencies of Interpublic Group — give him a working account of how media enterprises are staffed, financed, and distributed. Graduate research on technology adoption and engagement among adult learners in digital platform environments connects that industry vantage point to how students actually learn.</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EDUCATION</w:t>
      </w:r>
    </w:p>
    <w:p>
      <w:pPr>
        <w:tabs>
          <w:tab w:val="right" w:pos="10100"/>
        </w:tabs>
        <w:spacing w:after="20" w:before="160"/>
      </w:pPr>
      <w:r>
        <w:rPr>
          <w:rFonts w:ascii="Garamond" w:cs="Garamond" w:eastAsia="Garamond" w:hAnsi="Garamond"/>
          <w:b/>
          <w:bCs/>
          <w:i w:val="false"/>
          <w:iCs w:val="false"/>
          <w:color w:val="1A1A1A"/>
          <w:sz w:val="22"/>
          <w:szCs w:val="22"/>
        </w:rPr>
        <w:t xml:space="preserve">Ph.D. in Higher Education Leadership, Management and Policy</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Enrolled Fall 2026</w:t>
      </w:r>
    </w:p>
    <w:p>
      <w:pPr>
        <w:spacing w:after="20" w:before="0"/>
      </w:pPr>
      <w:r>
        <w:rPr>
          <w:rFonts w:ascii="Garamond" w:cs="Garamond" w:eastAsia="Garamond" w:hAnsi="Garamond"/>
          <w:b w:val="false"/>
          <w:bCs w:val="false"/>
          <w:i/>
          <w:iCs/>
          <w:color w:val="555555"/>
          <w:sz w:val="20"/>
          <w:szCs w:val="20"/>
        </w:rPr>
        <w:t xml:space="preserve">Seton Hall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South Orange, NJ</w:t>
      </w:r>
    </w:p>
    <w:p>
      <w:pPr>
        <w:tabs>
          <w:tab w:val="right" w:pos="10100"/>
        </w:tabs>
        <w:spacing w:after="20" w:before="160"/>
      </w:pPr>
      <w:r>
        <w:rPr>
          <w:rFonts w:ascii="Garamond" w:cs="Garamond" w:eastAsia="Garamond" w:hAnsi="Garamond"/>
          <w:b/>
          <w:bCs/>
          <w:i w:val="false"/>
          <w:iCs w:val="false"/>
          <w:color w:val="1A1A1A"/>
          <w:sz w:val="22"/>
          <w:szCs w:val="22"/>
        </w:rPr>
        <w:t xml:space="preserve">Master of Business Administration, Organizational Management</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Expected Fall 2026</w:t>
      </w:r>
    </w:p>
    <w:p>
      <w:pPr>
        <w:spacing w:after="20" w:before="0"/>
      </w:pP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p>
    <w:p>
      <w:pPr>
        <w:spacing w:after="20" w:before="0"/>
      </w:pPr>
      <w:r>
        <w:rPr>
          <w:rFonts w:ascii="Garamond" w:cs="Garamond" w:eastAsia="Garamond" w:hAnsi="Garamond"/>
          <w:b w:val="false"/>
          <w:bCs w:val="false"/>
          <w:i w:val="false"/>
          <w:iCs w:val="false"/>
          <w:color w:val="888888"/>
          <w:sz w:val="19"/>
          <w:szCs w:val="19"/>
        </w:rPr>
        <w:t xml:space="preserve">GPA: 3.87 / 4.0   ·   Concentrations: Human Resources · Artificial Intelligence · Sustainable Development</w:t>
      </w:r>
    </w:p>
    <w:p>
      <w:pPr>
        <w:spacing w:after="20" w:before="0"/>
      </w:pPr>
      <w:r>
        <w:rPr>
          <w:rFonts w:ascii="Garamond" w:cs="Garamond" w:eastAsia="Garamond" w:hAnsi="Garamond"/>
          <w:b w:val="false"/>
          <w:bCs w:val="false"/>
          <w:i w:val="false"/>
          <w:iCs w:val="false"/>
          <w:color w:val="888888"/>
          <w:sz w:val="19"/>
          <w:szCs w:val="19"/>
        </w:rPr>
        <w:t xml:space="preserve">Relevant coursework: Organizational Change &amp; Development · Data Analytics for Decision-Making · Technology Strategy · Research Methods</w:t>
      </w:r>
    </w:p>
    <w:p>
      <w:pPr>
        <w:tabs>
          <w:tab w:val="right" w:pos="10100"/>
        </w:tabs>
        <w:spacing w:after="20" w:before="160"/>
      </w:pPr>
      <w:r>
        <w:rPr>
          <w:rFonts w:ascii="Garamond" w:cs="Garamond" w:eastAsia="Garamond" w:hAnsi="Garamond"/>
          <w:b/>
          <w:bCs/>
          <w:i w:val="false"/>
          <w:iCs w:val="false"/>
          <w:color w:val="1A1A1A"/>
          <w:sz w:val="22"/>
          <w:szCs w:val="22"/>
        </w:rPr>
        <w:t xml:space="preserve">Bachelor of Science in Business Administration, Marketing</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2010</w:t>
      </w:r>
    </w:p>
    <w:p>
      <w:pPr>
        <w:spacing w:after="20" w:before="0"/>
      </w:pPr>
      <w:r>
        <w:rPr>
          <w:rFonts w:ascii="Garamond" w:cs="Garamond" w:eastAsia="Garamond" w:hAnsi="Garamond"/>
          <w:b w:val="false"/>
          <w:bCs w:val="false"/>
          <w:i/>
          <w:iCs/>
          <w:color w:val="555555"/>
          <w:sz w:val="20"/>
          <w:szCs w:val="20"/>
        </w:rPr>
        <w:t xml:space="preserve">Drexel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Philadelphia, PA</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HIGHER EDUCATION EXPERIENCE</w:t>
      </w:r>
    </w:p>
    <w:p>
      <w:pPr>
        <w:tabs>
          <w:tab w:val="right" w:pos="10100"/>
        </w:tabs>
        <w:spacing w:after="40" w:before="160"/>
      </w:pPr>
      <w:r>
        <w:rPr>
          <w:rFonts w:ascii="Garamond" w:cs="Garamond" w:eastAsia="Garamond" w:hAnsi="Garamond"/>
          <w:b/>
          <w:bCs/>
          <w:i w:val="false"/>
          <w:iCs w:val="false"/>
          <w:color w:val="1A1A1A"/>
          <w:sz w:val="22"/>
          <w:szCs w:val="22"/>
        </w:rPr>
        <w:t xml:space="preserve">Graduate Assistant — Academic &amp; Course Support</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May – Dec 2025</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Supported assessment design, grading workflows, grade-change documentation, and academic progress monitoring in close collaboration with course faculty.</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Managed full course lifecycle across two high-enrollment courses (200+ students per semester) — LMS administration (Canvas / Brightspace), section setup, enrollment monitoring, textbook procurement, and academic records maintenance.</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Served as first point of contact for student inquiries; triaged routine questions, escalated complex cases to faculty, and coordinated referrals to advising offices, tracking each item through resolution.</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Handled student records and performance data with strict confidentiality; surfaced at-risk students through trend analysis and produced formal reports informing targeted instructional interventions.</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OPERATIONS &amp; ADMINISTRATIVE EXPERIENCE</w:t>
      </w:r>
    </w:p>
    <w:p>
      <w:pPr>
        <w:tabs>
          <w:tab w:val="right" w:pos="10100"/>
        </w:tabs>
        <w:spacing w:after="40" w:before="160"/>
      </w:pPr>
      <w:r>
        <w:rPr>
          <w:rFonts w:ascii="Garamond" w:cs="Garamond" w:eastAsia="Garamond" w:hAnsi="Garamond"/>
          <w:b/>
          <w:bCs/>
          <w:i w:val="false"/>
          <w:iCs w:val="false"/>
          <w:color w:val="1A1A1A"/>
          <w:sz w:val="22"/>
          <w:szCs w:val="22"/>
        </w:rPr>
        <w:t xml:space="preserve">Senior PM &amp; Technical Lead</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Mangu Publishers</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Parsippany,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Jan 2023 – Dec 2025</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Led full lifecycle implementation of a resource-matching platform; conducted intake sessions with 50+ stakeholders and delivered 12 enhancements across six cycles.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Built standardized knowledge management and records infrastructure — retiring 30+ outdated materials and improving information retrieval efficiency by 50%.</w:t>
      </w:r>
    </w:p>
    <w:p>
      <w:pPr>
        <w:tabs>
          <w:tab w:val="right" w:pos="10100"/>
        </w:tabs>
        <w:spacing w:after="40" w:before="160"/>
      </w:pPr>
      <w:r>
        <w:rPr>
          <w:rFonts w:ascii="Garamond" w:cs="Garamond" w:eastAsia="Garamond" w:hAnsi="Garamond"/>
          <w:b/>
          <w:bCs/>
          <w:i w:val="false"/>
          <w:iCs w:val="false"/>
          <w:color w:val="1A1A1A"/>
          <w:sz w:val="22"/>
          <w:szCs w:val="22"/>
        </w:rPr>
        <w:t xml:space="preserve">Technical Project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Interpublic Group of Companies</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Jersey City,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2023</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Coordinated enterprise system implementations (Salesforce, Microsoft Dynamics 365, Maximo, Active Directory) for 600 users across multiple subsidiary agencies.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Delivered platform migration projects 75% ahead of schedule; facilitated monthly executive briefings and maintained status trackers for senior leadership.</w:t>
      </w:r>
    </w:p>
    <w:p>
      <w:pPr>
        <w:tabs>
          <w:tab w:val="right" w:pos="10100"/>
        </w:tabs>
        <w:spacing w:after="40" w:before="160"/>
      </w:pPr>
      <w:r>
        <w:rPr>
          <w:rFonts w:ascii="Garamond" w:cs="Garamond" w:eastAsia="Garamond" w:hAnsi="Garamond"/>
          <w:b/>
          <w:bCs/>
          <w:i w:val="false"/>
          <w:iCs w:val="false"/>
          <w:color w:val="1A1A1A"/>
          <w:sz w:val="22"/>
          <w:szCs w:val="22"/>
        </w:rPr>
        <w:t xml:space="preserve">Program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HCL Americas (Becton Dickinson &amp; Bristol Myers Squibb)</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Franklin Lakes,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Apr 2021 – Aug 2022</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Designed submission and approval automation across 49 business lines, eliminating manual intake processes and generating $10M in documented annual savings.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Directed three cloud migration projects and a 10,000-user client migration; established centralized KPI reporting dashboards for executive decision-making.</w:t>
      </w:r>
    </w:p>
    <w:p>
      <w:pPr>
        <w:tabs>
          <w:tab w:val="right" w:pos="10100"/>
        </w:tabs>
        <w:spacing w:after="40" w:before="160"/>
      </w:pPr>
      <w:r>
        <w:rPr>
          <w:rFonts w:ascii="Garamond" w:cs="Garamond" w:eastAsia="Garamond" w:hAnsi="Garamond"/>
          <w:b/>
          <w:bCs/>
          <w:i w:val="false"/>
          <w:iCs w:val="false"/>
          <w:color w:val="1A1A1A"/>
          <w:sz w:val="22"/>
          <w:szCs w:val="22"/>
        </w:rPr>
        <w:t xml:space="preserve">Senior Project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Millennium Systems International</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Parsippany,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Nov 2019 – Dec 2020</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Chaired a $50M annual budget committee — reviewing spend, vendor commitments, and funding priorities; achieved 90% quarterly deliverable completion.</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Increased development productivity 45% through workflow optimization; served as Scrum Master across three annual releases.</w:t>
      </w:r>
    </w:p>
    <w:p>
      <w:pPr>
        <w:tabs>
          <w:tab w:val="right" w:pos="10100"/>
        </w:tabs>
        <w:spacing w:after="40" w:before="160"/>
      </w:pPr>
      <w:r>
        <w:rPr>
          <w:rFonts w:ascii="Garamond" w:cs="Garamond" w:eastAsia="Garamond" w:hAnsi="Garamond"/>
          <w:b/>
          <w:bCs/>
          <w:i w:val="false"/>
          <w:iCs w:val="false"/>
          <w:color w:val="1A1A1A"/>
          <w:sz w:val="22"/>
          <w:szCs w:val="22"/>
        </w:rPr>
        <w:t xml:space="preserve">Senior Technical Product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Société Générale</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New York, NY</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Sep 2017 – Oct 2019</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Delivered federally mandated regulatory reports six weeks ahead of schedule within a $1.5M budget.</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Scaled a team from 6 to 55 — managing hiring documentation, onboarding, coverage planning, and timekeeping — realizing $800K in operational savings.</w:t>
      </w:r>
    </w:p>
    <w:p>
      <w:pPr>
        <w:spacing w:after="20" w:before="120"/>
      </w:pPr>
      <w:r>
        <w:rPr>
          <w:rFonts w:ascii="Garamond" w:cs="Garamond" w:eastAsia="Garamond" w:hAnsi="Garamond"/>
          <w:b w:val="false"/>
          <w:bCs w:val="false"/>
          <w:i w:val="false"/>
          <w:iCs w:val="false"/>
          <w:color w:val="888888"/>
          <w:sz w:val="19"/>
          <w:szCs w:val="19"/>
        </w:rPr>
        <w:t xml:space="preserve">Earlier Roles: Technical Project Manager, progressive responsibilities — Mizuho Bank, Jersey City, NJ (2016–2017)  ·  L'Oréal USA, Berkeley Heights, NJ (2015)  ·  Investors Bank, Short Hills, NJ (2013–2015)  ·  Financial Executives International, Morristown, NJ (2011–2013)</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RESEARCH &amp; SCHOLARLY ENGAGEMENT</w:t>
      </w:r>
    </w:p>
    <w:p>
      <w:pPr>
        <w:tabs>
          <w:tab w:val="right" w:pos="10100"/>
        </w:tabs>
        <w:spacing w:after="40" w:before="160"/>
      </w:pPr>
      <w:r>
        <w:rPr>
          <w:rFonts w:ascii="Garamond" w:cs="Garamond" w:eastAsia="Garamond" w:hAnsi="Garamond"/>
          <w:b/>
          <w:bCs/>
          <w:i w:val="false"/>
          <w:iCs w:val="false"/>
          <w:color w:val="1A1A1A"/>
          <w:sz w:val="22"/>
          <w:szCs w:val="22"/>
        </w:rPr>
        <w:t xml:space="preserve">Graduate Research — MBA Program</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2024 – Present</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Conducted applied research on how adult learners adopt and engage with digital course and media platforms; findings informed recommendations on institutional effectiveness and platform optimization.</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Executed systematic literature reviews on organizational change, digital transformation, and student success frameworks in postsecondary education.</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Developed data-informed recommendations integrating quantitative platform usage data with qualitative stakeholder analysis to improve engagement among non-traditional students.</w:t>
      </w:r>
    </w:p>
    <w:p>
      <w:pPr>
        <w:spacing w:after="20" w:before="120"/>
      </w:pPr>
      <w:r>
        <w:rPr>
          <w:rFonts w:ascii="Garamond" w:cs="Garamond" w:eastAsia="Garamond" w:hAnsi="Garamond"/>
          <w:b w:val="false"/>
          <w:bCs w:val="false"/>
          <w:i w:val="false"/>
          <w:iCs w:val="false"/>
          <w:color w:val="888888"/>
          <w:sz w:val="19"/>
          <w:szCs w:val="19"/>
        </w:rPr>
        <w:t xml:space="preserve">Research interests: Media industry structure and digital distribution  ·  Technology adoption and engagement among adult learners  ·  Data-informed decision-making and continuous improvement  ·  Digital transformation in postsecondary institutions</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SKILLS &amp; SYSTEMS</w:t>
      </w:r>
    </w:p>
    <w:tbl>
      <w:tblPr>
        <w:tblW w:type="pct" w:w="100%"/>
        <w:tblBorders>
          <w:top w:val="none"/>
          <w:left w:val="none"/>
          <w:bottom w:val="none"/>
          <w:right w:val="none"/>
          <w:insideH w:val="none"/>
          <w:insideV w:val="none"/>
        </w:tblBorders>
      </w:tblPr>
      <w:tblGrid>
        <w:gridCol w:w="100"/>
        <w:gridCol w:w="100"/>
      </w:tblGrid>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Course Instruction Support &amp; Assessment Design</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Media &amp; Publishing Operations (Mangu Publishers  ·  Interpublic Group)</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LMS Administration (Canvas, Brightspace, Moodle)</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Syllabus, Course Materials &amp; Textbook Coordination</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Grading Workflows &amp; Academic Progress Monitoring</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Student Inquiry Triage &amp; Advising Referrals</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Engagement &amp; Usage Data Analysis (Power BI, Tableau)</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Presentational &amp; Executive Communication</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Applied Research Design &amp; Literature Review</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Digital Platform Implementation &amp; Migration</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Confidential &amp; FERPA-Sensitive Records Handling</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Microsoft 365, SharePoint, Excel, Teams</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Event, Open House &amp; Program Coordination</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Project Management (Agile, Scrum, Waterfall; PMP in progress)</w:t>
            </w:r>
          </w:p>
        </w:tc>
      </w:tr>
    </w:tbl>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CERTIFICATIONS &amp; AFFILIATIONS</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Project Management Institute (PMI) — NJ Chapter Member &amp; Volunteer, 2024–Present</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Software Engineering Bootcamp — General Assembly, 2025</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Goode Education Group — Clean Energy Program Fellow, 2024</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Building Science Principles — Building Performance Institute</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ADDITIONAL</w:t>
      </w:r>
    </w:p>
    <w:p>
      <w:pPr>
        <w:spacing w:after="20" w:before="100"/>
      </w:pPr>
      <w:r>
        <w:rPr>
          <w:rFonts w:ascii="Garamond" w:cs="Garamond" w:eastAsia="Garamond" w:hAnsi="Garamond"/>
          <w:b w:val="false"/>
          <w:bCs w:val="false"/>
          <w:i w:val="false"/>
          <w:iCs w:val="false"/>
          <w:color w:val="555555"/>
          <w:sz w:val="19"/>
          <w:szCs w:val="19"/>
        </w:rPr>
        <w:t xml:space="preserve">Martial Arts — Jeet Kune Do (Fist of Interception Institute), Level 3 student under Vincent Benitez</w:t>
      </w:r>
    </w:p>
    <w:sectPr>
      <w:pgSz w:h="16838" w:w="11906"/>
      <w:pgMar w:bottom="720" w:footer="720" w:gutter="0" w:header="720" w:left="900" w:right="900" w:top="720"/>
      <w:cols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555555"/>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2026-08-14T04:44:38.700Z</dcterms:created>
  <dcterms:modified xsi:type="dcterms:W3CDTF">2026-08-14T04:44:38.701Z</dcterms:modified>
</cp:coreProperties>
</file>

<file path=docProps/custom.xml><?xml version="1.0" encoding="utf-8"?>
<Properties xmlns="http://schemas.openxmlformats.org/officeDocument/2006/custom-properties" xmlns:vt="http://schemas.openxmlformats.org/officeDocument/2006/docPropsVTypes"/>
</file>