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Organizational Communication &amp; Stakeholder Facilitation  ·  Course Instruction Support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Policy, completing an MBA in Organizational Management with a 3.87 GPA and coursework in Organizational Change &amp; Development and Research Methods. Thirteen-plus years of professional practice have been spent doing organizational communication rather than only studying it: facilitating intake sessions with 50+ stakeholders, delivering monthly executive briefings, and building the documentation that keeps large distributed teams aligned through change.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 experience in instructional settings and delivery systems: as a Graduate Assistant he administered Canvas and Brightspace course sites, supported assessment design and grading workflows, and served as first point of contact for students across two high-enrollment courses of 200+ students per semester — work carried out substantially through online course platforms and documented for continuity across staff turnover.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online course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Organizational communication and change in institutions  ·  Adult learner engagement in online and hybrid environments  ·  Data-informed decision-making and continuous improvement  ·  Service delivery equity for non-traditional students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Organizational Communication &amp; Stakeholder Facilitation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Presentational Speaking &amp; Executive Briefing Delivery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Course Instruction Support &amp; Assessment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Online Course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Grading Workflows &amp; Academic Progress Monitoring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 &amp; Advising Referrals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Change Communication &amp; Organizational Development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Research Design &amp; Literature Review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Syllabus, Course Materials &amp; Textbook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Cross-Functional Team Leadership, Hiring &amp; Onboarding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