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Calibri" w:cs="Calibri" w:eastAsia="Calibri" w:hAnsi="Calibri"/>
          <w:b w:val="false"/>
          <w:bCs w:val="false"/>
          <w:i w:val="false"/>
          <w:iCs w:val="false"/>
          <w:color w:val="1A1A1A"/>
          <w:spacing w:val="100"/>
          <w:sz w:val="48"/>
          <w:szCs w:val="48"/>
        </w:rPr>
        <w:t xml:space="preserve">MAX MIHIR OZA</w:t>
      </w:r>
    </w:p>
    <w:p>
      <w:pPr>
        <w:spacing w:after="80" w:before="0"/>
        <w:jc w:val="left"/>
      </w:pPr>
      <w:r>
        <w:rPr>
          <w:rFonts w:ascii="Calibri" w:cs="Calibri" w:eastAsia="Calibri" w:hAnsi="Calibri"/>
          <w:b w:val="false"/>
          <w:bCs w:val="false"/>
          <w:i w:val="false"/>
          <w:iCs w:val="false"/>
          <w:color w:val="888888"/>
          <w:sz w:val="18"/>
          <w:szCs w:val="18"/>
        </w:rPr>
        <w:t xml:space="preserve">Parsippany, NJ</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201 247 1371</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ozamihir@shu.edu</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linkedin.com/in/mihir-oza</w:t>
      </w:r>
    </w:p>
    <w:p>
      <w:pPr>
        <w:pBdr>
          <w:bottom w:val="single" w:color="CCCCCC" w:sz="6"/>
        </w:pBdr>
        <w:spacing w:after="120" w:before="80"/>
      </w:pPr>
    </w:p>
    <w:p>
      <w:pPr>
        <w:spacing w:after="240" w:before="0"/>
        <w:jc w:val="left"/>
      </w:pPr>
      <w:r>
        <w:rPr>
          <w:rFonts w:ascii="Garamond" w:cs="Garamond" w:eastAsia="Garamond" w:hAnsi="Garamond"/>
          <w:b w:val="false"/>
          <w:bCs w:val="false"/>
          <w:i w:val="false"/>
          <w:iCs w:val="false"/>
          <w:color w:val="888888"/>
          <w:sz w:val="20"/>
          <w:szCs w:val="20"/>
        </w:rPr>
        <w:t xml:space="preserve">August 24, 2026</w:t>
      </w:r>
    </w:p>
    <w:p>
      <w:pPr>
        <w:spacing w:after="60" w:before="0"/>
        <w:jc w:val="left"/>
      </w:pPr>
      <w:r>
        <w:rPr>
          <w:rFonts w:ascii="Garamond" w:cs="Garamond" w:eastAsia="Garamond" w:hAnsi="Garamond"/>
          <w:b/>
          <w:bCs/>
          <w:i w:val="false"/>
          <w:iCs w:val="false"/>
          <w:color w:val="2C2C2C"/>
          <w:sz w:val="22"/>
          <w:szCs w:val="22"/>
        </w:rPr>
        <w:t xml:space="preserve">Search Committee</w:t>
      </w:r>
    </w:p>
    <w:p>
      <w:pPr>
        <w:spacing w:after="60" w:before="0"/>
        <w:jc w:val="left"/>
      </w:pPr>
      <w:r>
        <w:rPr>
          <w:rFonts w:ascii="Garamond" w:cs="Garamond" w:eastAsia="Garamond" w:hAnsi="Garamond"/>
          <w:b w:val="false"/>
          <w:bCs w:val="false"/>
          <w:i w:val="false"/>
          <w:iCs w:val="false"/>
          <w:color w:val="555555"/>
          <w:sz w:val="20"/>
          <w:szCs w:val="20"/>
        </w:rPr>
        <w:t xml:space="preserve">Senior Budget Analyst Search</w:t>
      </w:r>
    </w:p>
    <w:p>
      <w:pPr>
        <w:spacing w:after="60" w:before="0"/>
        <w:jc w:val="left"/>
      </w:pPr>
      <w:r>
        <w:rPr>
          <w:rFonts w:ascii="Garamond" w:cs="Garamond" w:eastAsia="Garamond" w:hAnsi="Garamond"/>
          <w:b w:val="false"/>
          <w:bCs w:val="false"/>
          <w:i w:val="false"/>
          <w:iCs w:val="false"/>
          <w:color w:val="555555"/>
          <w:sz w:val="20"/>
          <w:szCs w:val="20"/>
        </w:rPr>
        <w:t xml:space="preserve">Finance Division  ·  Seton Hall University</w:t>
      </w:r>
    </w:p>
    <w:p>
      <w:pPr>
        <w:spacing w:after="60" w:before="0"/>
        <w:jc w:val="left"/>
      </w:pPr>
      <w:r>
        <w:rPr>
          <w:rFonts w:ascii="Garamond" w:cs="Garamond" w:eastAsia="Garamond" w:hAnsi="Garamond"/>
          <w:b w:val="false"/>
          <w:bCs w:val="false"/>
          <w:i w:val="false"/>
          <w:iCs w:val="false"/>
          <w:color w:val="555555"/>
          <w:sz w:val="20"/>
          <w:szCs w:val="20"/>
        </w:rPr>
        <w:t xml:space="preserve">South Orange, New Jersey</w:t>
      </w:r>
    </w:p>
    <w:p>
      <w:pPr>
        <w:spacing w:after="280" w:before="0"/>
        <w:jc w:val="left"/>
      </w:pPr>
      <w:r>
        <w:rPr>
          <w:rFonts w:ascii="Garamond" w:cs="Garamond" w:eastAsia="Garamond" w:hAnsi="Garamond"/>
          <w:b w:val="false"/>
          <w:bCs w:val="false"/>
          <w:i/>
          <w:iCs/>
          <w:color w:val="888888"/>
          <w:sz w:val="19"/>
          <w:szCs w:val="19"/>
        </w:rPr>
        <w:t xml:space="preserve">Re: Senior Budget Analyst (Job No. 497461)</w:t>
      </w:r>
    </w:p>
    <w:p>
      <w:pPr>
        <w:spacing w:after="200" w:before="0"/>
        <w:jc w:val="left"/>
      </w:pPr>
      <w:r>
        <w:rPr>
          <w:rFonts w:ascii="Garamond" w:cs="Garamond" w:eastAsia="Garamond" w:hAnsi="Garamond"/>
          <w:b w:val="false"/>
          <w:bCs w:val="false"/>
          <w:i w:val="false"/>
          <w:iCs w:val="false"/>
          <w:color w:val="2C2C2C"/>
          <w:sz w:val="21"/>
          <w:szCs w:val="21"/>
        </w:rPr>
        <w:t xml:space="preserve">Dear Members of the Search Committee,</w:t>
      </w:r>
    </w:p>
    <w:p>
      <w:pPr>
        <w:spacing w:after="200" w:before="0"/>
        <w:jc w:val="left"/>
      </w:pPr>
      <w:r>
        <w:rPr>
          <w:rFonts w:ascii="Garamond" w:cs="Garamond" w:eastAsia="Garamond" w:hAnsi="Garamond"/>
          <w:b w:val="false"/>
          <w:bCs w:val="false"/>
          <w:i w:val="false"/>
          <w:iCs w:val="false"/>
          <w:color w:val="444444"/>
          <w:sz w:val="21"/>
          <w:szCs w:val="21"/>
        </w:rPr>
        <w:t xml:space="preserve">I am writing to apply for the Senior Budget Analyst position in the Finance Division. This fall I begin the Ph.D. in Higher Education Leadership, Management and Policy at Seton Hall, so my interest in the University's finances is not abstract: I am about to spend several years inside the institution, and I would rather spend them helping divisions understand where their money goes than watching from a seat in a seminar room.</w:t>
      </w:r>
    </w:p>
    <w:p>
      <w:pPr>
        <w:spacing w:after="200" w:before="0"/>
        <w:jc w:val="left"/>
      </w:pPr>
      <w:r>
        <w:rPr>
          <w:rFonts w:ascii="Garamond" w:cs="Garamond" w:eastAsia="Garamond" w:hAnsi="Garamond"/>
          <w:b w:val="false"/>
          <w:bCs w:val="false"/>
          <w:i w:val="false"/>
          <w:iCs w:val="false"/>
          <w:color w:val="444444"/>
          <w:sz w:val="21"/>
          <w:szCs w:val="21"/>
        </w:rPr>
        <w:t xml:space="preserve">The part of this posting that matches my record most directly is the advisory relationship with assigned divisions and the monthly and quarterly review cadence. At Millennium Systems International I chaired a $50M annual budget committee, which in practice meant sitting down with the people who owned the spend, walking through vendor commitments and funding priorities, and deciding together what was affordable and what was not. That committee ran on a quarterly rhythm and we closed 90 percent of quarterly deliverables against it. The work was less about producing a number than about producing a conversation that budget owners could act on, which is what a monthly financial review session is for.</w:t>
      </w:r>
    </w:p>
    <w:p>
      <w:pPr>
        <w:spacing w:after="200" w:before="0"/>
        <w:jc w:val="left"/>
      </w:pPr>
      <w:r>
        <w:rPr>
          <w:rFonts w:ascii="Garamond" w:cs="Garamond" w:eastAsia="Garamond" w:hAnsi="Garamond"/>
          <w:b w:val="false"/>
          <w:bCs w:val="false"/>
          <w:i w:val="false"/>
          <w:iCs w:val="false"/>
          <w:color w:val="444444"/>
          <w:sz w:val="21"/>
          <w:szCs w:val="21"/>
        </w:rPr>
        <w:t xml:space="preserve">The reporting and forecasting side has been the through line of the rest of my career. At Société Générale I delivered federally mandated regulatory reports six weeks ahead of schedule inside a $1.5M budget, and I rebuilt a team from 6 people to 55 while managing coverage planning and timekeeping, which returned $800K in operational savings. At HCL Americas I mapped submission and approval processes across 49 business lines and replaced the manual intake with automation that produced $10M in documented annual savings, then stood up centralized KPI dashboards so executives could see performance without asking for it. Building the model is the easy half; getting divisions to trust the model is the half that takes the years.</w:t>
      </w:r>
    </w:p>
    <w:p>
      <w:pPr>
        <w:spacing w:after="200" w:before="0"/>
        <w:jc w:val="left"/>
      </w:pPr>
      <w:r>
        <w:rPr>
          <w:rFonts w:ascii="Garamond" w:cs="Garamond" w:eastAsia="Garamond" w:hAnsi="Garamond"/>
          <w:b w:val="false"/>
          <w:bCs w:val="false"/>
          <w:i w:val="false"/>
          <w:iCs w:val="false"/>
          <w:color w:val="444444"/>
          <w:sz w:val="21"/>
          <w:szCs w:val="21"/>
        </w:rPr>
        <w:t xml:space="preserve">I should be straightforward about where I fall short of the stated requirements. My degrees are in business administration and organizational management rather than finance or accounting, and while budget ownership has been a recurring part of my roles for more than a decade, I have not held five years in a position formally titled in finance or accounting. I also have not worked in Banner Finance. What I bring instead is deep fluency in the analytical layer the job actually runs on — Excel, Power BI, Tableau, and enterprise systems including SAP and Microsoft Dynamics 365 — and a track record of learning institutional platforms quickly, having implemented four enterprise systems for 600 users at Interpublic Group. My MBA coursework in Data Analytics for Decision-Making has been aimed squarely at this kind of analysis.</w:t>
      </w:r>
    </w:p>
    <w:p>
      <w:pPr>
        <w:spacing w:after="200" w:before="0"/>
        <w:jc w:val="left"/>
      </w:pPr>
      <w:r>
        <w:rPr>
          <w:rFonts w:ascii="Garamond" w:cs="Garamond" w:eastAsia="Garamond" w:hAnsi="Garamond"/>
          <w:b w:val="false"/>
          <w:bCs w:val="false"/>
          <w:i w:val="false"/>
          <w:iCs w:val="false"/>
          <w:color w:val="444444"/>
          <w:sz w:val="21"/>
          <w:szCs w:val="21"/>
        </w:rPr>
        <w:t xml:space="preserve">If given the chance, I would want to be the analyst that divisions call before they commit rather than after, and I would bring the documentation habits that keep budget knowledge with the office rather than with one person. Thank you for considering my application.</w:t>
      </w:r>
    </w:p>
    <w:p>
      <w:pPr>
        <w:spacing w:after="240" w:before="120"/>
        <w:jc w:val="left"/>
      </w:pPr>
      <w:r>
        <w:rPr>
          <w:rFonts w:ascii="Garamond" w:cs="Garamond" w:eastAsia="Garamond" w:hAnsi="Garamond"/>
          <w:b w:val="false"/>
          <w:bCs w:val="false"/>
          <w:i w:val="false"/>
          <w:iCs w:val="false"/>
          <w:color w:val="444444"/>
          <w:sz w:val="21"/>
          <w:szCs w:val="21"/>
        </w:rPr>
        <w:t xml:space="preserve">Sincerely,</w:t>
      </w:r>
    </w:p>
    <w:p>
      <w:pPr>
        <w:spacing w:after="60" w:before="0"/>
        <w:jc w:val="left"/>
      </w:pPr>
      <w:r>
        <w:rPr>
          <w:rFonts w:ascii="Garamond" w:cs="Garamond" w:eastAsia="Garamond" w:hAnsi="Garamond"/>
          <w:b/>
          <w:bCs/>
          <w:i w:val="false"/>
          <w:iCs w:val="false"/>
          <w:color w:val="1A1A1A"/>
          <w:sz w:val="22"/>
          <w:szCs w:val="22"/>
        </w:rPr>
        <w:t xml:space="preserve">Max Mihir Oza</w:t>
      </w:r>
    </w:p>
    <w:p>
      <w:pPr>
        <w:spacing w:after="20" w:before="0"/>
        <w:jc w:val="left"/>
      </w:pPr>
      <w:r>
        <w:rPr>
          <w:rFonts w:ascii="Garamond" w:cs="Garamond" w:eastAsia="Garamond" w:hAnsi="Garamond"/>
          <w:b w:val="false"/>
          <w:bCs w:val="false"/>
          <w:i w:val="false"/>
          <w:iCs w:val="false"/>
          <w:color w:val="888888"/>
          <w:sz w:val="19"/>
          <w:szCs w:val="19"/>
        </w:rPr>
        <w:t xml:space="preserve">180 Littleton Rd, Parsippany, NJ 07054</w:t>
      </w:r>
    </w:p>
    <w:p>
      <w:pPr>
        <w:spacing w:after="20" w:before="0"/>
        <w:jc w:val="left"/>
      </w:pPr>
      <w:r>
        <w:rPr>
          <w:rFonts w:ascii="Garamond" w:cs="Garamond" w:eastAsia="Garamond" w:hAnsi="Garamond"/>
          <w:b w:val="false"/>
          <w:bCs w:val="false"/>
          <w:i w:val="false"/>
          <w:iCs w:val="false"/>
          <w:color w:val="888888"/>
          <w:sz w:val="19"/>
          <w:szCs w:val="19"/>
        </w:rPr>
        <w:t xml:space="preserve">201 247 1371  ·  ozamihir@shu.edu</w:t>
      </w:r>
    </w:p>
    <w:sectPr>
      <w:pgSz w:h="16838" w:w="11906"/>
      <w:pgMar w:bottom="720" w:footer="720" w:gutter="0" w:header="720" w:left="900" w:right="900" w:top="720"/>
      <w:cols w:space="72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555555"/>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2026-08-14T04:45:25.921Z</dcterms:created>
  <dcterms:modified xsi:type="dcterms:W3CDTF">2026-08-14T04:45:25.921Z</dcterms:modified>
</cp:coreProperties>
</file>

<file path=docProps/custom.xml><?xml version="1.0" encoding="utf-8"?>
<Properties xmlns="http://schemas.openxmlformats.org/officeDocument/2006/custom-properties" xmlns:vt="http://schemas.openxmlformats.org/officeDocument/2006/docPropsVTypes"/>
</file>