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Immigration Detention Fellow Search</w:t>
      </w:r>
    </w:p>
    <w:p>
      <w:pPr>
        <w:spacing w:after="60" w:before="0"/>
        <w:jc w:val="left"/>
      </w:pPr>
      <w:r>
        <w:rPr>
          <w:rFonts w:ascii="Garamond" w:cs="Garamond" w:eastAsia="Garamond" w:hAnsi="Garamond"/>
          <w:b w:val="false"/>
          <w:bCs w:val="false"/>
          <w:i w:val="false"/>
          <w:iCs w:val="false"/>
          <w:color w:val="555555"/>
          <w:sz w:val="20"/>
          <w:szCs w:val="20"/>
        </w:rPr>
        <w:t xml:space="preserve">Center for Social Justice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Newark, New Jersey</w:t>
      </w:r>
    </w:p>
    <w:p>
      <w:pPr>
        <w:spacing w:after="280" w:before="0"/>
        <w:jc w:val="left"/>
      </w:pPr>
      <w:r>
        <w:rPr>
          <w:rFonts w:ascii="Garamond" w:cs="Garamond" w:eastAsia="Garamond" w:hAnsi="Garamond"/>
          <w:b w:val="false"/>
          <w:bCs w:val="false"/>
          <w:i/>
          <w:iCs/>
          <w:color w:val="888888"/>
          <w:sz w:val="19"/>
          <w:szCs w:val="19"/>
        </w:rPr>
        <w:t xml:space="preserve">Re: Immigration Detention Fellow (Job No. 497398)</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am writing about the Immigration Detention Fellow position with the Center for Social Justice. I begin the Ph.D. in Higher Education Leadership, Management and Policy at Seton Hall this fall, and I have followed the Center's detention work with real respect. I want to be direct at the outset about which parts of this fellowship I could carry and which I could not, so the committee can make a fast decision.</w:t>
      </w:r>
    </w:p>
    <w:p>
      <w:pPr>
        <w:spacing w:after="200" w:before="0"/>
        <w:jc w:val="left"/>
      </w:pPr>
      <w:r>
        <w:rPr>
          <w:rFonts w:ascii="Garamond" w:cs="Garamond" w:eastAsia="Garamond" w:hAnsi="Garamond"/>
          <w:b w:val="false"/>
          <w:bCs w:val="false"/>
          <w:i w:val="false"/>
          <w:iCs w:val="false"/>
          <w:color w:val="444444"/>
          <w:sz w:val="21"/>
          <w:szCs w:val="21"/>
        </w:rPr>
        <w:t xml:space="preserve">Two of the four functions described in the posting are squarely operational: tracking hours and assisting in grant report preparation, and coordinating law student involvement with the project. Grant-funded reporting is close to work I have done for years. At Société Générale I delivered federally mandated regulatory reports six weeks ahead of schedule within a $1.5M budget, in an environment where a late or incomplete filing carried consequences, and I built the timekeeping and coverage systems for a team that grew from 6 people to 55. At Interpublic Group I ran monthly executive briefings and kept the status trackers senior leadership relied on. Reporting periods, documented hours, and defensible numbers are familiar territory.</w:t>
      </w:r>
    </w:p>
    <w:p>
      <w:pPr>
        <w:spacing w:after="200" w:before="0"/>
        <w:jc w:val="left"/>
      </w:pPr>
      <w:r>
        <w:rPr>
          <w:rFonts w:ascii="Garamond" w:cs="Garamond" w:eastAsia="Garamond" w:hAnsi="Garamond"/>
          <w:b w:val="false"/>
          <w:bCs w:val="false"/>
          <w:i w:val="false"/>
          <w:iCs w:val="false"/>
          <w:color w:val="444444"/>
          <w:sz w:val="21"/>
          <w:szCs w:val="21"/>
        </w:rPr>
        <w:t xml:space="preserve">The student coordination piece has a direct precedent as well. As a Graduate Assistant at Eastern University I was the first point of contact for more than 200 students a semester, sorting what I could handle from what needed faculty, coordinating referrals, and tracking each one until it closed. Convening people who do not report to you is the other half of the job description, and at Mangu Publishers I ran intake sessions with more than 50 stakeholders across a full implementation, then delivered 12 enhancements over six cycles on the strength of what those conversations surfaced.</w:t>
      </w:r>
    </w:p>
    <w:p>
      <w:pPr>
        <w:spacing w:after="200" w:before="0"/>
        <w:jc w:val="left"/>
      </w:pPr>
      <w:r>
        <w:rPr>
          <w:rFonts w:ascii="Garamond" w:cs="Garamond" w:eastAsia="Garamond" w:hAnsi="Garamond"/>
          <w:b w:val="false"/>
          <w:bCs w:val="false"/>
          <w:i w:val="false"/>
          <w:iCs w:val="false"/>
          <w:color w:val="444444"/>
          <w:sz w:val="21"/>
          <w:szCs w:val="21"/>
        </w:rPr>
        <w:t xml:space="preserve">Here is the disqualifying part, stated plainly: I do not hold a J.D., I am not admitted to any bar, and I am not fluent in Spanish. The posting requires both, and providing legal representation to detained immigrants is the heart of the fellowship, not an adjacent duty. I cannot do that part of the work and I will not suggest otherwise. I am submitting this letter only because the administrative half of the position — grant reporting, hours compliance, and student coordination — describes work I do well, and if the Center ever separates that function into a program administrator or grants coordinator role, I would be glad to be considered for it.</w:t>
      </w:r>
    </w:p>
    <w:p>
      <w:pPr>
        <w:spacing w:after="200" w:before="0"/>
        <w:jc w:val="left"/>
      </w:pPr>
      <w:r>
        <w:rPr>
          <w:rFonts w:ascii="Garamond" w:cs="Garamond" w:eastAsia="Garamond" w:hAnsi="Garamond"/>
          <w:b w:val="false"/>
          <w:bCs w:val="false"/>
          <w:i w:val="false"/>
          <w:iCs w:val="false"/>
          <w:color w:val="444444"/>
          <w:sz w:val="21"/>
          <w:szCs w:val="21"/>
        </w:rPr>
        <w:t xml:space="preserve">Whatever the outcome here, I am grateful for the work the Center does and glad to be joining a university that houses it. Thank you for your time.</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