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Assistant Director, Undergraduate Admissions Search</w:t>
      </w:r>
    </w:p>
    <w:p>
      <w:pPr>
        <w:spacing w:after="60" w:before="0"/>
        <w:jc w:val="left"/>
      </w:pPr>
      <w:r>
        <w:rPr>
          <w:rFonts w:ascii="Garamond" w:cs="Garamond" w:eastAsia="Garamond" w:hAnsi="Garamond"/>
          <w:b w:val="false"/>
          <w:bCs w:val="false"/>
          <w:i w:val="false"/>
          <w:iCs w:val="false"/>
          <w:color w:val="555555"/>
          <w:sz w:val="20"/>
          <w:szCs w:val="20"/>
        </w:rPr>
        <w:t xml:space="preserve">Office of Admissions, Division of Enrollment Services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Assistant Director, Undergraduate Admissions (Job No. 497383)</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would like to be considered for the Assistant Director position in Undergraduate Admissions. I begin the Ph.D. in Higher Education Leadership, Management and Policy at Seton Hall this fall, which means I am joining the institution either way; what I would rather do is join it in both capacities, studying enrollment and student success in the evening and practicing it during the day.</w:t>
      </w:r>
    </w:p>
    <w:p>
      <w:pPr>
        <w:spacing w:after="200" w:before="0"/>
        <w:jc w:val="left"/>
      </w:pPr>
      <w:r>
        <w:rPr>
          <w:rFonts w:ascii="Garamond" w:cs="Garamond" w:eastAsia="Garamond" w:hAnsi="Garamond"/>
          <w:b w:val="false"/>
          <w:bCs w:val="false"/>
          <w:i w:val="false"/>
          <w:iCs w:val="false"/>
          <w:color w:val="444444"/>
          <w:sz w:val="21"/>
          <w:szCs w:val="21"/>
        </w:rPr>
        <w:t xml:space="preserve">Reading the fourteen duties in this posting, several are not recruitment travel at all. Overseeing the front-line customer service activities of admissions staff, participating in the design and implementation of records systems, coordinating the collection and analysis of program activity data, and managing overall communication and functionality within an assigned territory are operating responsibilities, and they are the center of my record. At Interpublic Group I coordinated enterprise system implementations across Salesforce, Microsoft Dynamics 365, Maximo, and Active Directory for 600 users spread across multiple subsidiary agencies, delivering migrations 75% ahead of schedule while running monthly executive briefings and maintaining the status trackers leadership relied on. A territory is a defined constituency with a system of record and a reporting rhythm, and that is the shape of work I have done for years.</w:t>
      </w:r>
    </w:p>
    <w:p>
      <w:pPr>
        <w:spacing w:after="200" w:before="0"/>
        <w:jc w:val="left"/>
      </w:pPr>
      <w:r>
        <w:rPr>
          <w:rFonts w:ascii="Garamond" w:cs="Garamond" w:eastAsia="Garamond" w:hAnsi="Garamond"/>
          <w:b w:val="false"/>
          <w:bCs w:val="false"/>
          <w:i w:val="false"/>
          <w:iCs w:val="false"/>
          <w:color w:val="444444"/>
          <w:sz w:val="21"/>
          <w:szCs w:val="21"/>
        </w:rPr>
        <w:t xml:space="preserve">The student-facing half is more recent but real. As a Graduate Assistant at Eastern University I was the first point of contact for inquiries across two courses enrolling more than 200 students a semester, triaging what I could answer, escalating what I could not, and coordinating referrals to advising offices with each item tracked to resolution. I ran section setup, enrollment monitoring, and academic records maintenance for those courses, and I handled student data under strict confidentiality. At Société Générale I grew a team from six to fifty-five, managing hiring documentation, onboarding, coverage planning, and timekeeping, which is the practical substance of overseeing a front-line staff during a season when the phones do not stop.</w:t>
      </w:r>
    </w:p>
    <w:p>
      <w:pPr>
        <w:spacing w:after="200" w:before="0"/>
        <w:jc w:val="left"/>
      </w:pPr>
      <w:r>
        <w:rPr>
          <w:rFonts w:ascii="Garamond" w:cs="Garamond" w:eastAsia="Garamond" w:hAnsi="Garamond"/>
          <w:b w:val="false"/>
          <w:bCs w:val="false"/>
          <w:i w:val="false"/>
          <w:iCs w:val="false"/>
          <w:color w:val="444444"/>
          <w:sz w:val="21"/>
          <w:szCs w:val="21"/>
        </w:rPr>
        <w:t xml:space="preserve">The honest gap is admissions itself. I have not read a season of applications, worked a territory, or built a high school relationship list, and I would be relying on the posting's provision that a directly related higher degree may substitute for experience. My MBA and the doctoral program I am entering are directly related, but they are not three autumns on the road, and I would expect to spend my first cycle learning the funnel from people who know it. I am prepared for the evening and weekend hours and the domestic travel the position requires.</w:t>
      </w:r>
    </w:p>
    <w:p>
      <w:pPr>
        <w:spacing w:after="200" w:before="0"/>
        <w:jc w:val="left"/>
      </w:pPr>
      <w:r>
        <w:rPr>
          <w:rFonts w:ascii="Garamond" w:cs="Garamond" w:eastAsia="Garamond" w:hAnsi="Garamond"/>
          <w:b w:val="false"/>
          <w:bCs w:val="false"/>
          <w:i w:val="false"/>
          <w:iCs w:val="false"/>
          <w:color w:val="444444"/>
          <w:sz w:val="21"/>
          <w:szCs w:val="21"/>
        </w:rPr>
        <w:t xml:space="preserve">What I would add to the office is someone who enjoys the recruiting season and also fixes what the season exposes: the intake step nobody documented, the report that gets rebuilt by hand every October, the inquiry that fell between two inboxes. Thank you for considering my application.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