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jc w:val="center"/>
      </w:pPr>
      <w:r>
        <w:rPr>
          <w:rFonts w:ascii="Calibri" w:cs="Calibri" w:eastAsia="Calibri" w:hAnsi="Calibri"/>
          <w:b w:val="false"/>
          <w:bCs w:val="false"/>
          <w:i w:val="false"/>
          <w:iCs w:val="false"/>
          <w:color w:val="1A1A1A"/>
          <w:spacing w:val="120"/>
          <w:sz w:val="52"/>
          <w:szCs w:val="52"/>
        </w:rPr>
        <w:t xml:space="preserve">MAX MIHIR OZA</w:t>
      </w:r>
    </w:p>
    <w:p>
      <w:pPr>
        <w:spacing w:after="60" w:before="0"/>
        <w:jc w:val="center"/>
      </w:pPr>
      <w:r>
        <w:rPr>
          <w:rFonts w:ascii="Garamond" w:cs="Garamond" w:eastAsia="Garamond" w:hAnsi="Garamond"/>
          <w:b w:val="false"/>
          <w:bCs w:val="false"/>
          <w:i/>
          <w:iCs/>
          <w:color w:val="888888"/>
          <w:sz w:val="20"/>
          <w:szCs w:val="20"/>
        </w:rPr>
        <w:t xml:space="preserve">Enrollment Operations &amp; Territory Management  ·  Higher Education Scholar-Practitioner</w:t>
      </w:r>
    </w:p>
    <w:p>
      <w:pPr>
        <w:spacing w:after="100" w:before="0"/>
        <w:jc w:val="center"/>
      </w:pPr>
      <w:r>
        <w:rPr>
          <w:rFonts w:ascii="Calibri" w:cs="Calibri" w:eastAsia="Calibri" w:hAnsi="Calibri"/>
          <w:b w:val="false"/>
          <w:bCs w:val="false"/>
          <w:i w:val="false"/>
          <w:iCs w:val="false"/>
          <w:color w:val="888888"/>
          <w:sz w:val="18"/>
          <w:szCs w:val="18"/>
        </w:rPr>
        <w:t xml:space="preserve">Parsippany, NJ</w:t>
      </w:r>
      <w:r>
        <w:rPr>
          <w:rFonts w:ascii="Calibri" w:cs="Calibri" w:eastAsia="Calibri" w:hAnsi="Calibri"/>
          <w:b w:val="false"/>
          <w:bCs w:val="false"/>
          <w:i w:val="false"/>
          <w:iCs w:val="false"/>
          <w:color w:val="CCCCCC"/>
          <w:sz w:val="18"/>
          <w:szCs w:val="18"/>
        </w:rPr>
        <w:t xml:space="preserve">  ·  </w:t>
      </w:r>
      <w:r>
        <w:rPr>
          <w:rFonts w:ascii="Calibri" w:cs="Calibri" w:eastAsia="Calibri" w:hAnsi="Calibri"/>
          <w:b w:val="false"/>
          <w:bCs w:val="false"/>
          <w:i w:val="false"/>
          <w:iCs w:val="false"/>
          <w:color w:val="888888"/>
          <w:sz w:val="18"/>
          <w:szCs w:val="18"/>
        </w:rPr>
        <w:t xml:space="preserve">(201) 247-1371</w:t>
      </w:r>
      <w:r>
        <w:rPr>
          <w:rFonts w:ascii="Calibri" w:cs="Calibri" w:eastAsia="Calibri" w:hAnsi="Calibri"/>
          <w:b w:val="false"/>
          <w:bCs w:val="false"/>
          <w:i w:val="false"/>
          <w:iCs w:val="false"/>
          <w:color w:val="CCCCCC"/>
          <w:sz w:val="18"/>
          <w:szCs w:val="18"/>
        </w:rPr>
        <w:t xml:space="preserve">  ·  </w:t>
      </w:r>
      <w:r>
        <w:rPr>
          <w:rFonts w:ascii="Calibri" w:cs="Calibri" w:eastAsia="Calibri" w:hAnsi="Calibri"/>
          <w:b w:val="false"/>
          <w:bCs w:val="false"/>
          <w:i w:val="false"/>
          <w:iCs w:val="false"/>
          <w:color w:val="888888"/>
          <w:sz w:val="18"/>
          <w:szCs w:val="18"/>
        </w:rPr>
        <w:t xml:space="preserve">ozamihir@shu.edu</w:t>
      </w:r>
      <w:r>
        <w:rPr>
          <w:rFonts w:ascii="Calibri" w:cs="Calibri" w:eastAsia="Calibri" w:hAnsi="Calibri"/>
          <w:b w:val="false"/>
          <w:bCs w:val="false"/>
          <w:i w:val="false"/>
          <w:iCs w:val="false"/>
          <w:color w:val="CCCCCC"/>
          <w:sz w:val="18"/>
          <w:szCs w:val="18"/>
        </w:rPr>
        <w:t xml:space="preserve">  ·  </w:t>
      </w:r>
      <w:r>
        <w:rPr>
          <w:rFonts w:ascii="Calibri" w:cs="Calibri" w:eastAsia="Calibri" w:hAnsi="Calibri"/>
          <w:b w:val="false"/>
          <w:bCs w:val="false"/>
          <w:i w:val="false"/>
          <w:iCs w:val="false"/>
          <w:color w:val="888888"/>
          <w:sz w:val="18"/>
          <w:szCs w:val="18"/>
        </w:rPr>
        <w:t xml:space="preserve">linkedin.com/in/mihir-oza</w:t>
      </w:r>
    </w:p>
    <w:p>
      <w:pPr>
        <w:pBdr>
          <w:bottom w:val="single" w:color="CCCCCC" w:sz="6"/>
        </w:pBdr>
        <w:spacing w:after="80" w:before="80"/>
      </w:pPr>
    </w:p>
    <w:p>
      <w:pPr>
        <w:pBdr>
          <w:bottom w:val="single" w:color="2C2C2C" w:sz="8"/>
        </w:pBdr>
        <w:spacing w:after="60" w:before="280"/>
      </w:pPr>
      <w:r>
        <w:rPr>
          <w:rFonts w:ascii="Calibri" w:cs="Calibri" w:eastAsia="Calibri" w:hAnsi="Calibri"/>
          <w:b/>
          <w:bCs/>
          <w:i w:val="false"/>
          <w:iCs w:val="false"/>
          <w:color w:val="1A1A1A"/>
          <w:spacing w:val="80"/>
          <w:sz w:val="18"/>
          <w:szCs w:val="18"/>
        </w:rPr>
        <w:t xml:space="preserve">PROFILE</w:t>
      </w:r>
    </w:p>
    <w:p>
      <w:pPr>
        <w:spacing w:after="60" w:before="100"/>
      </w:pPr>
      <w:r>
        <w:rPr>
          <w:rFonts w:ascii="Garamond" w:cs="Garamond" w:eastAsia="Garamond" w:hAnsi="Garamond"/>
          <w:b w:val="false"/>
          <w:bCs w:val="false"/>
          <w:i w:val="false"/>
          <w:iCs w:val="false"/>
          <w:color w:val="555555"/>
          <w:sz w:val="20"/>
          <w:szCs w:val="20"/>
        </w:rPr>
        <w:t xml:space="preserve">Enrollment-operations professional and incoming Seton Hall doctoral student with direct experience on both sides of a university office: student-facing inquiry response for 200+ students per semester, and the records work behind it — section setup, enrollment monitoring, LMS administration, and academic records maintenance. Brings 13+ years of program coordination and records-system implementation, including CRM and ERP rollouts (Salesforce, Microsoft Dynamics 365) delivered for 600 users across multiple agencies. Currently completing an MBA with a 3.87 GPA.</w:t>
      </w:r>
    </w:p>
    <w:p>
      <w:pPr>
        <w:spacing w:after="60" w:before="100"/>
      </w:pPr>
      <w:r>
        <w:rPr>
          <w:rFonts w:ascii="Garamond" w:cs="Garamond" w:eastAsia="Garamond" w:hAnsi="Garamond"/>
          <w:b w:val="false"/>
          <w:bCs w:val="false"/>
          <w:i w:val="false"/>
          <w:iCs w:val="false"/>
          <w:color w:val="555555"/>
          <w:sz w:val="20"/>
          <w:szCs w:val="20"/>
        </w:rPr>
        <w:t xml:space="preserve">Accustomed to owning a defined constituency end to end — the outreach calendar, the communications that go out to it, the activity data that describes it, and the reporting that goes back to leadership. Known for turning informal practice into documented, repeatable process, and for exercising discretion with confidential student, personnel, and financial information.</w:t>
      </w:r>
    </w:p>
    <w:p>
      <w:pPr>
        <w:pBdr>
          <w:bottom w:val="single" w:color="2C2C2C" w:sz="8"/>
        </w:pBdr>
        <w:spacing w:after="60" w:before="280"/>
      </w:pPr>
      <w:r>
        <w:rPr>
          <w:rFonts w:ascii="Calibri" w:cs="Calibri" w:eastAsia="Calibri" w:hAnsi="Calibri"/>
          <w:b/>
          <w:bCs/>
          <w:i w:val="false"/>
          <w:iCs w:val="false"/>
          <w:color w:val="1A1A1A"/>
          <w:spacing w:val="80"/>
          <w:sz w:val="18"/>
          <w:szCs w:val="18"/>
        </w:rPr>
        <w:t xml:space="preserve">EDUCATION</w:t>
      </w:r>
    </w:p>
    <w:p>
      <w:pPr>
        <w:tabs>
          <w:tab w:val="right" w:pos="10100"/>
        </w:tabs>
        <w:spacing w:after="20" w:before="160"/>
      </w:pPr>
      <w:r>
        <w:rPr>
          <w:rFonts w:ascii="Garamond" w:cs="Garamond" w:eastAsia="Garamond" w:hAnsi="Garamond"/>
          <w:b/>
          <w:bCs/>
          <w:i w:val="false"/>
          <w:iCs w:val="false"/>
          <w:color w:val="1A1A1A"/>
          <w:sz w:val="22"/>
          <w:szCs w:val="22"/>
        </w:rPr>
        <w:t xml:space="preserve">Ph.D. in Higher Education Leadership, Management and Policy</w:t>
      </w:r>
      <w:r>
        <w:rPr>
          <w:rFonts w:ascii="Garamond" w:cs="Garamond" w:eastAsia="Garamond" w:hAnsi="Garamond"/>
          <w:sz w:val="20"/>
          <w:szCs w:val="20"/>
        </w:rPr>
        <w:t xml:space="preserve">	</w:t>
      </w:r>
      <w:r>
        <w:rPr>
          <w:rFonts w:ascii="Calibri" w:cs="Calibri" w:eastAsia="Calibri" w:hAnsi="Calibri"/>
          <w:b w:val="false"/>
          <w:bCs w:val="false"/>
          <w:i w:val="false"/>
          <w:iCs w:val="false"/>
          <w:color w:val="888888"/>
          <w:sz w:val="18"/>
          <w:szCs w:val="18"/>
        </w:rPr>
        <w:t xml:space="preserve">Enrolled Fall 2026</w:t>
      </w:r>
    </w:p>
    <w:p>
      <w:pPr>
        <w:spacing w:after="20" w:before="0"/>
      </w:pPr>
      <w:r>
        <w:rPr>
          <w:rFonts w:ascii="Garamond" w:cs="Garamond" w:eastAsia="Garamond" w:hAnsi="Garamond"/>
          <w:b w:val="false"/>
          <w:bCs w:val="false"/>
          <w:i/>
          <w:iCs/>
          <w:color w:val="555555"/>
          <w:sz w:val="20"/>
          <w:szCs w:val="20"/>
        </w:rPr>
        <w:t xml:space="preserve">Seton Hall University</w:t>
      </w:r>
      <w:r>
        <w:rPr>
          <w:rFonts w:ascii="Garamond" w:cs="Garamond" w:eastAsia="Garamond" w:hAnsi="Garamond"/>
          <w:b w:val="false"/>
          <w:bCs w:val="false"/>
          <w:i w:val="false"/>
          <w:iCs w:val="false"/>
          <w:color w:val="888888"/>
          <w:sz w:val="20"/>
          <w:szCs w:val="20"/>
        </w:rPr>
        <w:t xml:space="preserve">  ·  </w:t>
      </w:r>
      <w:r>
        <w:rPr>
          <w:rFonts w:ascii="Garamond" w:cs="Garamond" w:eastAsia="Garamond" w:hAnsi="Garamond"/>
          <w:b w:val="false"/>
          <w:bCs w:val="false"/>
          <w:i w:val="false"/>
          <w:iCs w:val="false"/>
          <w:color w:val="888888"/>
          <w:sz w:val="20"/>
          <w:szCs w:val="20"/>
        </w:rPr>
        <w:t xml:space="preserve">South Orange, NJ</w:t>
      </w:r>
    </w:p>
    <w:p>
      <w:pPr>
        <w:tabs>
          <w:tab w:val="right" w:pos="10100"/>
        </w:tabs>
        <w:spacing w:after="20" w:before="160"/>
      </w:pPr>
      <w:r>
        <w:rPr>
          <w:rFonts w:ascii="Garamond" w:cs="Garamond" w:eastAsia="Garamond" w:hAnsi="Garamond"/>
          <w:b/>
          <w:bCs/>
          <w:i w:val="false"/>
          <w:iCs w:val="false"/>
          <w:color w:val="1A1A1A"/>
          <w:sz w:val="22"/>
          <w:szCs w:val="22"/>
        </w:rPr>
        <w:t xml:space="preserve">Master of Business Administration, Organizational Management</w:t>
      </w:r>
      <w:r>
        <w:rPr>
          <w:rFonts w:ascii="Garamond" w:cs="Garamond" w:eastAsia="Garamond" w:hAnsi="Garamond"/>
          <w:sz w:val="20"/>
          <w:szCs w:val="20"/>
        </w:rPr>
        <w:t xml:space="preserve">	</w:t>
      </w:r>
      <w:r>
        <w:rPr>
          <w:rFonts w:ascii="Calibri" w:cs="Calibri" w:eastAsia="Calibri" w:hAnsi="Calibri"/>
          <w:b w:val="false"/>
          <w:bCs w:val="false"/>
          <w:i w:val="false"/>
          <w:iCs w:val="false"/>
          <w:color w:val="888888"/>
          <w:sz w:val="18"/>
          <w:szCs w:val="18"/>
        </w:rPr>
        <w:t xml:space="preserve">Expected Fall 2026</w:t>
      </w:r>
    </w:p>
    <w:p>
      <w:pPr>
        <w:spacing w:after="20" w:before="0"/>
      </w:pPr>
      <w:r>
        <w:rPr>
          <w:rFonts w:ascii="Garamond" w:cs="Garamond" w:eastAsia="Garamond" w:hAnsi="Garamond"/>
          <w:b w:val="false"/>
          <w:bCs w:val="false"/>
          <w:i/>
          <w:iCs/>
          <w:color w:val="555555"/>
          <w:sz w:val="20"/>
          <w:szCs w:val="20"/>
        </w:rPr>
        <w:t xml:space="preserve">Eastern University</w:t>
      </w:r>
      <w:r>
        <w:rPr>
          <w:rFonts w:ascii="Garamond" w:cs="Garamond" w:eastAsia="Garamond" w:hAnsi="Garamond"/>
          <w:b w:val="false"/>
          <w:bCs w:val="false"/>
          <w:i w:val="false"/>
          <w:iCs w:val="false"/>
          <w:color w:val="888888"/>
          <w:sz w:val="20"/>
          <w:szCs w:val="20"/>
        </w:rPr>
        <w:t xml:space="preserve">  ·  </w:t>
      </w:r>
      <w:r>
        <w:rPr>
          <w:rFonts w:ascii="Garamond" w:cs="Garamond" w:eastAsia="Garamond" w:hAnsi="Garamond"/>
          <w:b w:val="false"/>
          <w:bCs w:val="false"/>
          <w:i w:val="false"/>
          <w:iCs w:val="false"/>
          <w:color w:val="888888"/>
          <w:sz w:val="20"/>
          <w:szCs w:val="20"/>
        </w:rPr>
        <w:t xml:space="preserve">St. Davids, PA</w:t>
      </w:r>
    </w:p>
    <w:p>
      <w:pPr>
        <w:spacing w:after="20" w:before="0"/>
      </w:pPr>
      <w:r>
        <w:rPr>
          <w:rFonts w:ascii="Garamond" w:cs="Garamond" w:eastAsia="Garamond" w:hAnsi="Garamond"/>
          <w:b w:val="false"/>
          <w:bCs w:val="false"/>
          <w:i w:val="false"/>
          <w:iCs w:val="false"/>
          <w:color w:val="888888"/>
          <w:sz w:val="19"/>
          <w:szCs w:val="19"/>
        </w:rPr>
        <w:t xml:space="preserve">GPA: 3.87 / 4.0   ·   Concentrations: Human Resources · Artificial Intelligence · Sustainable Development</w:t>
      </w:r>
    </w:p>
    <w:p>
      <w:pPr>
        <w:spacing w:after="20" w:before="0"/>
      </w:pPr>
      <w:r>
        <w:rPr>
          <w:rFonts w:ascii="Garamond" w:cs="Garamond" w:eastAsia="Garamond" w:hAnsi="Garamond"/>
          <w:b w:val="false"/>
          <w:bCs w:val="false"/>
          <w:i w:val="false"/>
          <w:iCs w:val="false"/>
          <w:color w:val="888888"/>
          <w:sz w:val="19"/>
          <w:szCs w:val="19"/>
        </w:rPr>
        <w:t xml:space="preserve">Relevant coursework: Organizational Change &amp; Development · Data Analytics for Decision-Making · Technology Strategy · Research Methods</w:t>
      </w:r>
    </w:p>
    <w:p>
      <w:pPr>
        <w:tabs>
          <w:tab w:val="right" w:pos="10100"/>
        </w:tabs>
        <w:spacing w:after="20" w:before="160"/>
      </w:pPr>
      <w:r>
        <w:rPr>
          <w:rFonts w:ascii="Garamond" w:cs="Garamond" w:eastAsia="Garamond" w:hAnsi="Garamond"/>
          <w:b/>
          <w:bCs/>
          <w:i w:val="false"/>
          <w:iCs w:val="false"/>
          <w:color w:val="1A1A1A"/>
          <w:sz w:val="22"/>
          <w:szCs w:val="22"/>
        </w:rPr>
        <w:t xml:space="preserve">Bachelor of Science in Business Administration, Marketing</w:t>
      </w:r>
      <w:r>
        <w:rPr>
          <w:rFonts w:ascii="Garamond" w:cs="Garamond" w:eastAsia="Garamond" w:hAnsi="Garamond"/>
          <w:sz w:val="20"/>
          <w:szCs w:val="20"/>
        </w:rPr>
        <w:t xml:space="preserve">	</w:t>
      </w:r>
      <w:r>
        <w:rPr>
          <w:rFonts w:ascii="Calibri" w:cs="Calibri" w:eastAsia="Calibri" w:hAnsi="Calibri"/>
          <w:b w:val="false"/>
          <w:bCs w:val="false"/>
          <w:i w:val="false"/>
          <w:iCs w:val="false"/>
          <w:color w:val="888888"/>
          <w:sz w:val="18"/>
          <w:szCs w:val="18"/>
        </w:rPr>
        <w:t xml:space="preserve">2010</w:t>
      </w:r>
    </w:p>
    <w:p>
      <w:pPr>
        <w:spacing w:after="20" w:before="0"/>
      </w:pPr>
      <w:r>
        <w:rPr>
          <w:rFonts w:ascii="Garamond" w:cs="Garamond" w:eastAsia="Garamond" w:hAnsi="Garamond"/>
          <w:b w:val="false"/>
          <w:bCs w:val="false"/>
          <w:i/>
          <w:iCs/>
          <w:color w:val="555555"/>
          <w:sz w:val="20"/>
          <w:szCs w:val="20"/>
        </w:rPr>
        <w:t xml:space="preserve">Drexel University</w:t>
      </w:r>
      <w:r>
        <w:rPr>
          <w:rFonts w:ascii="Garamond" w:cs="Garamond" w:eastAsia="Garamond" w:hAnsi="Garamond"/>
          <w:b w:val="false"/>
          <w:bCs w:val="false"/>
          <w:i w:val="false"/>
          <w:iCs w:val="false"/>
          <w:color w:val="888888"/>
          <w:sz w:val="20"/>
          <w:szCs w:val="20"/>
        </w:rPr>
        <w:t xml:space="preserve">  ·  </w:t>
      </w:r>
      <w:r>
        <w:rPr>
          <w:rFonts w:ascii="Garamond" w:cs="Garamond" w:eastAsia="Garamond" w:hAnsi="Garamond"/>
          <w:b w:val="false"/>
          <w:bCs w:val="false"/>
          <w:i w:val="false"/>
          <w:iCs w:val="false"/>
          <w:color w:val="888888"/>
          <w:sz w:val="20"/>
          <w:szCs w:val="20"/>
        </w:rPr>
        <w:t xml:space="preserve">Philadelphia, PA</w:t>
      </w:r>
    </w:p>
    <w:p>
      <w:pPr>
        <w:pBdr>
          <w:bottom w:val="single" w:color="2C2C2C" w:sz="8"/>
        </w:pBdr>
        <w:spacing w:after="60" w:before="280"/>
      </w:pPr>
      <w:r>
        <w:rPr>
          <w:rFonts w:ascii="Calibri" w:cs="Calibri" w:eastAsia="Calibri" w:hAnsi="Calibri"/>
          <w:b/>
          <w:bCs/>
          <w:i w:val="false"/>
          <w:iCs w:val="false"/>
          <w:color w:val="1A1A1A"/>
          <w:spacing w:val="80"/>
          <w:sz w:val="18"/>
          <w:szCs w:val="18"/>
        </w:rPr>
        <w:t xml:space="preserve">HIGHER EDUCATION EXPERIENCE</w:t>
      </w:r>
    </w:p>
    <w:p>
      <w:pPr>
        <w:tabs>
          <w:tab w:val="right" w:pos="10100"/>
        </w:tabs>
        <w:spacing w:after="40" w:before="160"/>
      </w:pPr>
      <w:r>
        <w:rPr>
          <w:rFonts w:ascii="Garamond" w:cs="Garamond" w:eastAsia="Garamond" w:hAnsi="Garamond"/>
          <w:b/>
          <w:bCs/>
          <w:i w:val="false"/>
          <w:iCs w:val="false"/>
          <w:color w:val="1A1A1A"/>
          <w:sz w:val="22"/>
          <w:szCs w:val="22"/>
        </w:rPr>
        <w:t xml:space="preserve">Graduate Assistant — Academic &amp; Course Support</w:t>
      </w:r>
      <w:r>
        <w:rPr>
          <w:rFonts w:ascii="Garamond" w:cs="Garamond" w:eastAsia="Garamond" w:hAnsi="Garamond"/>
          <w:b w:val="false"/>
          <w:bCs w:val="false"/>
          <w:i w:val="false"/>
          <w:iCs w:val="false"/>
          <w:color w:val="888888"/>
          <w:sz w:val="20"/>
          <w:szCs w:val="20"/>
        </w:rPr>
        <w:t xml:space="preserve">  ·  </w:t>
      </w:r>
      <w:r>
        <w:rPr>
          <w:rFonts w:ascii="Garamond" w:cs="Garamond" w:eastAsia="Garamond" w:hAnsi="Garamond"/>
          <w:b w:val="false"/>
          <w:bCs w:val="false"/>
          <w:i/>
          <w:iCs/>
          <w:color w:val="555555"/>
          <w:sz w:val="20"/>
          <w:szCs w:val="20"/>
        </w:rPr>
        <w:t xml:space="preserve">Eastern University</w:t>
      </w:r>
      <w:r>
        <w:rPr>
          <w:rFonts w:ascii="Garamond" w:cs="Garamond" w:eastAsia="Garamond" w:hAnsi="Garamond"/>
          <w:b w:val="false"/>
          <w:bCs w:val="false"/>
          <w:i w:val="false"/>
          <w:iCs w:val="false"/>
          <w:color w:val="888888"/>
          <w:sz w:val="20"/>
          <w:szCs w:val="20"/>
        </w:rPr>
        <w:t xml:space="preserve">  ·  </w:t>
      </w:r>
      <w:r>
        <w:rPr>
          <w:rFonts w:ascii="Garamond" w:cs="Garamond" w:eastAsia="Garamond" w:hAnsi="Garamond"/>
          <w:b w:val="false"/>
          <w:bCs w:val="false"/>
          <w:i w:val="false"/>
          <w:iCs w:val="false"/>
          <w:color w:val="888888"/>
          <w:sz w:val="20"/>
          <w:szCs w:val="20"/>
        </w:rPr>
        <w:t xml:space="preserve">St. Davids, PA</w:t>
      </w:r>
      <w:r>
        <w:rPr>
          <w:rFonts w:ascii="Garamond" w:cs="Garamond" w:eastAsia="Garamond" w:hAnsi="Garamond"/>
          <w:sz w:val="20"/>
          <w:szCs w:val="20"/>
        </w:rPr>
        <w:t xml:space="preserve">	</w:t>
      </w:r>
      <w:r>
        <w:rPr>
          <w:rFonts w:ascii="Calibri" w:cs="Calibri" w:eastAsia="Calibri" w:hAnsi="Calibri"/>
          <w:b w:val="false"/>
          <w:bCs w:val="false"/>
          <w:i w:val="false"/>
          <w:iCs w:val="false"/>
          <w:color w:val="888888"/>
          <w:sz w:val="18"/>
          <w:szCs w:val="18"/>
        </w:rPr>
        <w:t xml:space="preserve">May – Dec 2025</w:t>
      </w:r>
    </w:p>
    <w:p>
      <w:pPr>
        <w:pStyle w:val="ListParagraph"/>
        <w:numPr>
          <w:ilvl w:val="0"/>
          <w:numId w:val="1"/>
        </w:numPr>
        <w:spacing w:after="30" w:before="30"/>
        <w:ind w:left="360" w:hanging="200"/>
      </w:pPr>
      <w:r>
        <w:rPr>
          <w:rFonts w:ascii="Garamond" w:cs="Garamond" w:eastAsia="Garamond" w:hAnsi="Garamond"/>
          <w:b w:val="false"/>
          <w:bCs w:val="false"/>
          <w:i w:val="false"/>
          <w:iCs w:val="false"/>
          <w:color w:val="555555"/>
          <w:sz w:val="20"/>
          <w:szCs w:val="20"/>
        </w:rPr>
        <w:t xml:space="preserve">Served as first point of contact for student inquiries across two high-enrollment courses (200+ students per semester); triaged routine questions, escalated complex cases to faculty, and coordinated referrals to advising offices, tracking each item through resolution.</w:t>
      </w:r>
    </w:p>
    <w:p>
      <w:pPr>
        <w:pStyle w:val="ListParagraph"/>
        <w:numPr>
          <w:ilvl w:val="0"/>
          <w:numId w:val="1"/>
        </w:numPr>
        <w:spacing w:after="30" w:before="30"/>
        <w:ind w:left="360" w:hanging="200"/>
      </w:pPr>
      <w:r>
        <w:rPr>
          <w:rFonts w:ascii="Garamond" w:cs="Garamond" w:eastAsia="Garamond" w:hAnsi="Garamond"/>
          <w:b w:val="false"/>
          <w:bCs w:val="false"/>
          <w:i w:val="false"/>
          <w:iCs w:val="false"/>
          <w:color w:val="555555"/>
          <w:sz w:val="20"/>
          <w:szCs w:val="20"/>
        </w:rPr>
        <w:t xml:space="preserve">Managed full course lifecycle across two high-enrollment courses — section setup, enrollment monitoring, LMS administration (Canvas / Brightspace), textbook procurement, and academic records maintenance.</w:t>
      </w:r>
    </w:p>
    <w:p>
      <w:pPr>
        <w:pStyle w:val="ListParagraph"/>
        <w:numPr>
          <w:ilvl w:val="0"/>
          <w:numId w:val="1"/>
        </w:numPr>
        <w:spacing w:after="30" w:before="30"/>
        <w:ind w:left="360" w:hanging="200"/>
      </w:pPr>
      <w:r>
        <w:rPr>
          <w:rFonts w:ascii="Garamond" w:cs="Garamond" w:eastAsia="Garamond" w:hAnsi="Garamond"/>
          <w:b w:val="false"/>
          <w:bCs w:val="false"/>
          <w:i w:val="false"/>
          <w:iCs w:val="false"/>
          <w:color w:val="555555"/>
          <w:sz w:val="20"/>
          <w:szCs w:val="20"/>
        </w:rPr>
        <w:t xml:space="preserve">Handled student records and performance data with strict confidentiality; surfaced at-risk students through trend analysis and produced formal reports informing targeted instructional interventions.</w:t>
      </w:r>
    </w:p>
    <w:p>
      <w:pPr>
        <w:pStyle w:val="ListParagraph"/>
        <w:numPr>
          <w:ilvl w:val="0"/>
          <w:numId w:val="1"/>
        </w:numPr>
        <w:spacing w:after="30" w:before="30"/>
        <w:ind w:left="360" w:hanging="200"/>
      </w:pPr>
      <w:r>
        <w:rPr>
          <w:rFonts w:ascii="Garamond" w:cs="Garamond" w:eastAsia="Garamond" w:hAnsi="Garamond"/>
          <w:b w:val="false"/>
          <w:bCs w:val="false"/>
          <w:i w:val="false"/>
          <w:iCs w:val="false"/>
          <w:color w:val="555555"/>
          <w:sz w:val="20"/>
          <w:szCs w:val="20"/>
        </w:rPr>
        <w:t xml:space="preserve">Supported assessment design, grading workflows, grade-change documentation, and academic progress monitoring in close collaboration with course faculty.</w:t>
      </w:r>
    </w:p>
    <w:p>
      <w:pPr>
        <w:pBdr>
          <w:bottom w:val="single" w:color="2C2C2C" w:sz="8"/>
        </w:pBdr>
        <w:spacing w:after="60" w:before="280"/>
      </w:pPr>
      <w:r>
        <w:rPr>
          <w:rFonts w:ascii="Calibri" w:cs="Calibri" w:eastAsia="Calibri" w:hAnsi="Calibri"/>
          <w:b/>
          <w:bCs/>
          <w:i w:val="false"/>
          <w:iCs w:val="false"/>
          <w:color w:val="1A1A1A"/>
          <w:spacing w:val="80"/>
          <w:sz w:val="18"/>
          <w:szCs w:val="18"/>
        </w:rPr>
        <w:t xml:space="preserve">OPERATIONS &amp; ADMINISTRATIVE EXPERIENCE</w:t>
      </w:r>
    </w:p>
    <w:p>
      <w:pPr>
        <w:tabs>
          <w:tab w:val="right" w:pos="10100"/>
        </w:tabs>
        <w:spacing w:after="40" w:before="160"/>
      </w:pPr>
      <w:r>
        <w:rPr>
          <w:rFonts w:ascii="Garamond" w:cs="Garamond" w:eastAsia="Garamond" w:hAnsi="Garamond"/>
          <w:b/>
          <w:bCs/>
          <w:i w:val="false"/>
          <w:iCs w:val="false"/>
          <w:color w:val="1A1A1A"/>
          <w:sz w:val="22"/>
          <w:szCs w:val="22"/>
        </w:rPr>
        <w:t xml:space="preserve">Senior PM &amp; Technical Lead</w:t>
      </w:r>
      <w:r>
        <w:rPr>
          <w:rFonts w:ascii="Garamond" w:cs="Garamond" w:eastAsia="Garamond" w:hAnsi="Garamond"/>
          <w:b w:val="false"/>
          <w:bCs w:val="false"/>
          <w:i w:val="false"/>
          <w:iCs w:val="false"/>
          <w:color w:val="888888"/>
          <w:sz w:val="20"/>
          <w:szCs w:val="20"/>
        </w:rPr>
        <w:t xml:space="preserve">  ·  </w:t>
      </w:r>
      <w:r>
        <w:rPr>
          <w:rFonts w:ascii="Garamond" w:cs="Garamond" w:eastAsia="Garamond" w:hAnsi="Garamond"/>
          <w:b w:val="false"/>
          <w:bCs w:val="false"/>
          <w:i/>
          <w:iCs/>
          <w:color w:val="555555"/>
          <w:sz w:val="20"/>
          <w:szCs w:val="20"/>
        </w:rPr>
        <w:t xml:space="preserve">Mangu Publishers</w:t>
      </w:r>
      <w:r>
        <w:rPr>
          <w:rFonts w:ascii="Garamond" w:cs="Garamond" w:eastAsia="Garamond" w:hAnsi="Garamond"/>
          <w:b w:val="false"/>
          <w:bCs w:val="false"/>
          <w:i w:val="false"/>
          <w:iCs w:val="false"/>
          <w:color w:val="888888"/>
          <w:sz w:val="20"/>
          <w:szCs w:val="20"/>
        </w:rPr>
        <w:t xml:space="preserve">  ·  </w:t>
      </w:r>
      <w:r>
        <w:rPr>
          <w:rFonts w:ascii="Garamond" w:cs="Garamond" w:eastAsia="Garamond" w:hAnsi="Garamond"/>
          <w:b w:val="false"/>
          <w:bCs w:val="false"/>
          <w:i w:val="false"/>
          <w:iCs w:val="false"/>
          <w:color w:val="888888"/>
          <w:sz w:val="20"/>
          <w:szCs w:val="20"/>
        </w:rPr>
        <w:t xml:space="preserve">Parsippany, NJ</w:t>
      </w:r>
      <w:r>
        <w:rPr>
          <w:rFonts w:ascii="Garamond" w:cs="Garamond" w:eastAsia="Garamond" w:hAnsi="Garamond"/>
          <w:sz w:val="20"/>
          <w:szCs w:val="20"/>
        </w:rPr>
        <w:t xml:space="preserve">	</w:t>
      </w:r>
      <w:r>
        <w:rPr>
          <w:rFonts w:ascii="Calibri" w:cs="Calibri" w:eastAsia="Calibri" w:hAnsi="Calibri"/>
          <w:b w:val="false"/>
          <w:bCs w:val="false"/>
          <w:i w:val="false"/>
          <w:iCs w:val="false"/>
          <w:color w:val="888888"/>
          <w:sz w:val="18"/>
          <w:szCs w:val="18"/>
        </w:rPr>
        <w:t xml:space="preserve">Jan 2023 – Dec 2025</w:t>
      </w:r>
    </w:p>
    <w:p>
      <w:pPr>
        <w:pStyle w:val="ListParagraph"/>
        <w:numPr>
          <w:ilvl w:val="0"/>
          <w:numId w:val="1"/>
        </w:numPr>
        <w:spacing w:after="30" w:before="30"/>
        <w:ind w:left="360" w:hanging="200"/>
      </w:pPr>
      <w:r>
        <w:rPr>
          <w:rFonts w:ascii="Garamond" w:cs="Garamond" w:eastAsia="Garamond" w:hAnsi="Garamond"/>
          <w:b w:val="false"/>
          <w:bCs w:val="false"/>
          <w:i w:val="false"/>
          <w:iCs w:val="false"/>
          <w:color w:val="555555"/>
          <w:sz w:val="20"/>
          <w:szCs w:val="20"/>
        </w:rPr>
        <w:t xml:space="preserve">Led full lifecycle implementation of a resource-matching platform; conducted intake sessions with 50+ stakeholders and delivered 12 enhancements across six cycles.</w:t>
      </w:r>
    </w:p>
    <w:p>
      <w:pPr>
        <w:pStyle w:val="ListParagraph"/>
        <w:numPr>
          <w:ilvl w:val="0"/>
          <w:numId w:val="1"/>
        </w:numPr>
        <w:spacing w:after="30" w:before="30"/>
        <w:ind w:left="360" w:hanging="200"/>
      </w:pPr>
      <w:r>
        <w:rPr>
          <w:rFonts w:ascii="Garamond" w:cs="Garamond" w:eastAsia="Garamond" w:hAnsi="Garamond"/>
          <w:b w:val="false"/>
          <w:bCs w:val="false"/>
          <w:i w:val="false"/>
          <w:iCs w:val="false"/>
          <w:color w:val="555555"/>
          <w:sz w:val="20"/>
          <w:szCs w:val="20"/>
        </w:rPr>
        <w:t xml:space="preserve">Built standardized knowledge management and records infrastructure — retiring 30+ outdated materials and improving information retrieval efficiency by 50%.</w:t>
      </w:r>
    </w:p>
    <w:p>
      <w:pPr>
        <w:tabs>
          <w:tab w:val="right" w:pos="10100"/>
        </w:tabs>
        <w:spacing w:after="40" w:before="160"/>
      </w:pPr>
      <w:r>
        <w:rPr>
          <w:rFonts w:ascii="Garamond" w:cs="Garamond" w:eastAsia="Garamond" w:hAnsi="Garamond"/>
          <w:b/>
          <w:bCs/>
          <w:i w:val="false"/>
          <w:iCs w:val="false"/>
          <w:color w:val="1A1A1A"/>
          <w:sz w:val="22"/>
          <w:szCs w:val="22"/>
        </w:rPr>
        <w:t xml:space="preserve">Technical Project Manager</w:t>
      </w:r>
      <w:r>
        <w:rPr>
          <w:rFonts w:ascii="Garamond" w:cs="Garamond" w:eastAsia="Garamond" w:hAnsi="Garamond"/>
          <w:b w:val="false"/>
          <w:bCs w:val="false"/>
          <w:i w:val="false"/>
          <w:iCs w:val="false"/>
          <w:color w:val="888888"/>
          <w:sz w:val="20"/>
          <w:szCs w:val="20"/>
        </w:rPr>
        <w:t xml:space="preserve">  ·  </w:t>
      </w:r>
      <w:r>
        <w:rPr>
          <w:rFonts w:ascii="Garamond" w:cs="Garamond" w:eastAsia="Garamond" w:hAnsi="Garamond"/>
          <w:b w:val="false"/>
          <w:bCs w:val="false"/>
          <w:i/>
          <w:iCs/>
          <w:color w:val="555555"/>
          <w:sz w:val="20"/>
          <w:szCs w:val="20"/>
        </w:rPr>
        <w:t xml:space="preserve">Interpublic Group of Companies</w:t>
      </w:r>
      <w:r>
        <w:rPr>
          <w:rFonts w:ascii="Garamond" w:cs="Garamond" w:eastAsia="Garamond" w:hAnsi="Garamond"/>
          <w:b w:val="false"/>
          <w:bCs w:val="false"/>
          <w:i w:val="false"/>
          <w:iCs w:val="false"/>
          <w:color w:val="888888"/>
          <w:sz w:val="20"/>
          <w:szCs w:val="20"/>
        </w:rPr>
        <w:t xml:space="preserve">  ·  </w:t>
      </w:r>
      <w:r>
        <w:rPr>
          <w:rFonts w:ascii="Garamond" w:cs="Garamond" w:eastAsia="Garamond" w:hAnsi="Garamond"/>
          <w:b w:val="false"/>
          <w:bCs w:val="false"/>
          <w:i w:val="false"/>
          <w:iCs w:val="false"/>
          <w:color w:val="888888"/>
          <w:sz w:val="20"/>
          <w:szCs w:val="20"/>
        </w:rPr>
        <w:t xml:space="preserve">Jersey City, NJ</w:t>
      </w:r>
      <w:r>
        <w:rPr>
          <w:rFonts w:ascii="Garamond" w:cs="Garamond" w:eastAsia="Garamond" w:hAnsi="Garamond"/>
          <w:sz w:val="20"/>
          <w:szCs w:val="20"/>
        </w:rPr>
        <w:t xml:space="preserve">	</w:t>
      </w:r>
      <w:r>
        <w:rPr>
          <w:rFonts w:ascii="Calibri" w:cs="Calibri" w:eastAsia="Calibri" w:hAnsi="Calibri"/>
          <w:b w:val="false"/>
          <w:bCs w:val="false"/>
          <w:i w:val="false"/>
          <w:iCs w:val="false"/>
          <w:color w:val="888888"/>
          <w:sz w:val="18"/>
          <w:szCs w:val="18"/>
        </w:rPr>
        <w:t xml:space="preserve">2023</w:t>
      </w:r>
    </w:p>
    <w:p>
      <w:pPr>
        <w:pStyle w:val="ListParagraph"/>
        <w:numPr>
          <w:ilvl w:val="0"/>
          <w:numId w:val="1"/>
        </w:numPr>
        <w:spacing w:after="30" w:before="30"/>
        <w:ind w:left="360" w:hanging="200"/>
      </w:pPr>
      <w:r>
        <w:rPr>
          <w:rFonts w:ascii="Garamond" w:cs="Garamond" w:eastAsia="Garamond" w:hAnsi="Garamond"/>
          <w:b w:val="false"/>
          <w:bCs w:val="false"/>
          <w:i w:val="false"/>
          <w:iCs w:val="false"/>
          <w:color w:val="555555"/>
          <w:sz w:val="20"/>
          <w:szCs w:val="20"/>
        </w:rPr>
        <w:t xml:space="preserve">Coordinated enterprise system implementations (Salesforce, Microsoft Dynamics 365, Maximo, Active Directory) for 600 users across multiple subsidiary agencies, owning communication and functionality for each assigned group.</w:t>
      </w:r>
    </w:p>
    <w:p>
      <w:pPr>
        <w:pStyle w:val="ListParagraph"/>
        <w:numPr>
          <w:ilvl w:val="0"/>
          <w:numId w:val="1"/>
        </w:numPr>
        <w:spacing w:after="30" w:before="30"/>
        <w:ind w:left="360" w:hanging="200"/>
      </w:pPr>
      <w:r>
        <w:rPr>
          <w:rFonts w:ascii="Garamond" w:cs="Garamond" w:eastAsia="Garamond" w:hAnsi="Garamond"/>
          <w:b w:val="false"/>
          <w:bCs w:val="false"/>
          <w:i w:val="false"/>
          <w:iCs w:val="false"/>
          <w:color w:val="555555"/>
          <w:sz w:val="20"/>
          <w:szCs w:val="20"/>
        </w:rPr>
        <w:t xml:space="preserve">Delivered platform migration projects 75% ahead of schedule; facilitated monthly executive briefings and maintained status trackers for senior leadership.</w:t>
      </w:r>
    </w:p>
    <w:p>
      <w:pPr>
        <w:tabs>
          <w:tab w:val="right" w:pos="10100"/>
        </w:tabs>
        <w:spacing w:after="40" w:before="160"/>
      </w:pPr>
      <w:r>
        <w:rPr>
          <w:rFonts w:ascii="Garamond" w:cs="Garamond" w:eastAsia="Garamond" w:hAnsi="Garamond"/>
          <w:b/>
          <w:bCs/>
          <w:i w:val="false"/>
          <w:iCs w:val="false"/>
          <w:color w:val="1A1A1A"/>
          <w:sz w:val="22"/>
          <w:szCs w:val="22"/>
        </w:rPr>
        <w:t xml:space="preserve">Program Manager</w:t>
      </w:r>
      <w:r>
        <w:rPr>
          <w:rFonts w:ascii="Garamond" w:cs="Garamond" w:eastAsia="Garamond" w:hAnsi="Garamond"/>
          <w:b w:val="false"/>
          <w:bCs w:val="false"/>
          <w:i w:val="false"/>
          <w:iCs w:val="false"/>
          <w:color w:val="888888"/>
          <w:sz w:val="20"/>
          <w:szCs w:val="20"/>
        </w:rPr>
        <w:t xml:space="preserve">  ·  </w:t>
      </w:r>
      <w:r>
        <w:rPr>
          <w:rFonts w:ascii="Garamond" w:cs="Garamond" w:eastAsia="Garamond" w:hAnsi="Garamond"/>
          <w:b w:val="false"/>
          <w:bCs w:val="false"/>
          <w:i/>
          <w:iCs/>
          <w:color w:val="555555"/>
          <w:sz w:val="20"/>
          <w:szCs w:val="20"/>
        </w:rPr>
        <w:t xml:space="preserve">HCL Americas (Becton Dickinson &amp; Bristol Myers Squibb)</w:t>
      </w:r>
      <w:r>
        <w:rPr>
          <w:rFonts w:ascii="Garamond" w:cs="Garamond" w:eastAsia="Garamond" w:hAnsi="Garamond"/>
          <w:b w:val="false"/>
          <w:bCs w:val="false"/>
          <w:i w:val="false"/>
          <w:iCs w:val="false"/>
          <w:color w:val="888888"/>
          <w:sz w:val="20"/>
          <w:szCs w:val="20"/>
        </w:rPr>
        <w:t xml:space="preserve">  ·  </w:t>
      </w:r>
      <w:r>
        <w:rPr>
          <w:rFonts w:ascii="Garamond" w:cs="Garamond" w:eastAsia="Garamond" w:hAnsi="Garamond"/>
          <w:b w:val="false"/>
          <w:bCs w:val="false"/>
          <w:i w:val="false"/>
          <w:iCs w:val="false"/>
          <w:color w:val="888888"/>
          <w:sz w:val="20"/>
          <w:szCs w:val="20"/>
        </w:rPr>
        <w:t xml:space="preserve">Franklin Lakes, NJ</w:t>
      </w:r>
      <w:r>
        <w:rPr>
          <w:rFonts w:ascii="Garamond" w:cs="Garamond" w:eastAsia="Garamond" w:hAnsi="Garamond"/>
          <w:sz w:val="20"/>
          <w:szCs w:val="20"/>
        </w:rPr>
        <w:t xml:space="preserve">	</w:t>
      </w:r>
      <w:r>
        <w:rPr>
          <w:rFonts w:ascii="Calibri" w:cs="Calibri" w:eastAsia="Calibri" w:hAnsi="Calibri"/>
          <w:b w:val="false"/>
          <w:bCs w:val="false"/>
          <w:i w:val="false"/>
          <w:iCs w:val="false"/>
          <w:color w:val="888888"/>
          <w:sz w:val="18"/>
          <w:szCs w:val="18"/>
        </w:rPr>
        <w:t xml:space="preserve">Apr 2021 – Aug 2022</w:t>
      </w:r>
    </w:p>
    <w:p>
      <w:pPr>
        <w:pStyle w:val="ListParagraph"/>
        <w:numPr>
          <w:ilvl w:val="0"/>
          <w:numId w:val="1"/>
        </w:numPr>
        <w:spacing w:after="30" w:before="30"/>
        <w:ind w:left="360" w:hanging="200"/>
      </w:pPr>
      <w:r>
        <w:rPr>
          <w:rFonts w:ascii="Garamond" w:cs="Garamond" w:eastAsia="Garamond" w:hAnsi="Garamond"/>
          <w:b w:val="false"/>
          <w:bCs w:val="false"/>
          <w:i w:val="false"/>
          <w:iCs w:val="false"/>
          <w:color w:val="555555"/>
          <w:sz w:val="20"/>
          <w:szCs w:val="20"/>
        </w:rPr>
        <w:t xml:space="preserve">Designed submission and approval automation across 49 business lines, eliminating manual intake processes and generating $10M in documented annual savings.</w:t>
      </w:r>
    </w:p>
    <w:p>
      <w:pPr>
        <w:pStyle w:val="ListParagraph"/>
        <w:numPr>
          <w:ilvl w:val="0"/>
          <w:numId w:val="1"/>
        </w:numPr>
        <w:spacing w:after="30" w:before="30"/>
        <w:ind w:left="360" w:hanging="200"/>
      </w:pPr>
      <w:r>
        <w:rPr>
          <w:rFonts w:ascii="Garamond" w:cs="Garamond" w:eastAsia="Garamond" w:hAnsi="Garamond"/>
          <w:b w:val="false"/>
          <w:bCs w:val="false"/>
          <w:i w:val="false"/>
          <w:iCs w:val="false"/>
          <w:color w:val="555555"/>
          <w:sz w:val="20"/>
          <w:szCs w:val="20"/>
        </w:rPr>
        <w:t xml:space="preserve">Directed three cloud migration projects and a 10,000-user client migration; established centralized KPI reporting dashboards for executive decision-making.</w:t>
      </w:r>
    </w:p>
    <w:p>
      <w:pPr>
        <w:tabs>
          <w:tab w:val="right" w:pos="10100"/>
        </w:tabs>
        <w:spacing w:after="40" w:before="160"/>
      </w:pPr>
      <w:r>
        <w:rPr>
          <w:rFonts w:ascii="Garamond" w:cs="Garamond" w:eastAsia="Garamond" w:hAnsi="Garamond"/>
          <w:b/>
          <w:bCs/>
          <w:i w:val="false"/>
          <w:iCs w:val="false"/>
          <w:color w:val="1A1A1A"/>
          <w:sz w:val="22"/>
          <w:szCs w:val="22"/>
        </w:rPr>
        <w:t xml:space="preserve">Senior Project Manager</w:t>
      </w:r>
      <w:r>
        <w:rPr>
          <w:rFonts w:ascii="Garamond" w:cs="Garamond" w:eastAsia="Garamond" w:hAnsi="Garamond"/>
          <w:b w:val="false"/>
          <w:bCs w:val="false"/>
          <w:i w:val="false"/>
          <w:iCs w:val="false"/>
          <w:color w:val="888888"/>
          <w:sz w:val="20"/>
          <w:szCs w:val="20"/>
        </w:rPr>
        <w:t xml:space="preserve">  ·  </w:t>
      </w:r>
      <w:r>
        <w:rPr>
          <w:rFonts w:ascii="Garamond" w:cs="Garamond" w:eastAsia="Garamond" w:hAnsi="Garamond"/>
          <w:b w:val="false"/>
          <w:bCs w:val="false"/>
          <w:i/>
          <w:iCs/>
          <w:color w:val="555555"/>
          <w:sz w:val="20"/>
          <w:szCs w:val="20"/>
        </w:rPr>
        <w:t xml:space="preserve">Millennium Systems International</w:t>
      </w:r>
      <w:r>
        <w:rPr>
          <w:rFonts w:ascii="Garamond" w:cs="Garamond" w:eastAsia="Garamond" w:hAnsi="Garamond"/>
          <w:b w:val="false"/>
          <w:bCs w:val="false"/>
          <w:i w:val="false"/>
          <w:iCs w:val="false"/>
          <w:color w:val="888888"/>
          <w:sz w:val="20"/>
          <w:szCs w:val="20"/>
        </w:rPr>
        <w:t xml:space="preserve">  ·  </w:t>
      </w:r>
      <w:r>
        <w:rPr>
          <w:rFonts w:ascii="Garamond" w:cs="Garamond" w:eastAsia="Garamond" w:hAnsi="Garamond"/>
          <w:b w:val="false"/>
          <w:bCs w:val="false"/>
          <w:i w:val="false"/>
          <w:iCs w:val="false"/>
          <w:color w:val="888888"/>
          <w:sz w:val="20"/>
          <w:szCs w:val="20"/>
        </w:rPr>
        <w:t xml:space="preserve">Parsippany, NJ</w:t>
      </w:r>
      <w:r>
        <w:rPr>
          <w:rFonts w:ascii="Garamond" w:cs="Garamond" w:eastAsia="Garamond" w:hAnsi="Garamond"/>
          <w:sz w:val="20"/>
          <w:szCs w:val="20"/>
        </w:rPr>
        <w:t xml:space="preserve">	</w:t>
      </w:r>
      <w:r>
        <w:rPr>
          <w:rFonts w:ascii="Calibri" w:cs="Calibri" w:eastAsia="Calibri" w:hAnsi="Calibri"/>
          <w:b w:val="false"/>
          <w:bCs w:val="false"/>
          <w:i w:val="false"/>
          <w:iCs w:val="false"/>
          <w:color w:val="888888"/>
          <w:sz w:val="18"/>
          <w:szCs w:val="18"/>
        </w:rPr>
        <w:t xml:space="preserve">Nov 2019 – Dec 2020</w:t>
      </w:r>
    </w:p>
    <w:p>
      <w:pPr>
        <w:pStyle w:val="ListParagraph"/>
        <w:numPr>
          <w:ilvl w:val="0"/>
          <w:numId w:val="1"/>
        </w:numPr>
        <w:spacing w:after="30" w:before="30"/>
        <w:ind w:left="360" w:hanging="200"/>
      </w:pPr>
      <w:r>
        <w:rPr>
          <w:rFonts w:ascii="Garamond" w:cs="Garamond" w:eastAsia="Garamond" w:hAnsi="Garamond"/>
          <w:b w:val="false"/>
          <w:bCs w:val="false"/>
          <w:i w:val="false"/>
          <w:iCs w:val="false"/>
          <w:color w:val="555555"/>
          <w:sz w:val="20"/>
          <w:szCs w:val="20"/>
        </w:rPr>
        <w:t xml:space="preserve">Chaired a $50M annual budget committee — reviewing spend, vendor commitments, and funding priorities; achieved 90% quarterly deliverable completion.</w:t>
      </w:r>
    </w:p>
    <w:p>
      <w:pPr>
        <w:pStyle w:val="ListParagraph"/>
        <w:numPr>
          <w:ilvl w:val="0"/>
          <w:numId w:val="1"/>
        </w:numPr>
        <w:spacing w:after="30" w:before="30"/>
        <w:ind w:left="360" w:hanging="200"/>
      </w:pPr>
      <w:r>
        <w:rPr>
          <w:rFonts w:ascii="Garamond" w:cs="Garamond" w:eastAsia="Garamond" w:hAnsi="Garamond"/>
          <w:b w:val="false"/>
          <w:bCs w:val="false"/>
          <w:i w:val="false"/>
          <w:iCs w:val="false"/>
          <w:color w:val="555555"/>
          <w:sz w:val="20"/>
          <w:szCs w:val="20"/>
        </w:rPr>
        <w:t xml:space="preserve">Increased development productivity 45% through workflow optimization; served as Scrum Master across three annual releases.</w:t>
      </w:r>
    </w:p>
    <w:p>
      <w:pPr>
        <w:tabs>
          <w:tab w:val="right" w:pos="10100"/>
        </w:tabs>
        <w:spacing w:after="40" w:before="160"/>
      </w:pPr>
      <w:r>
        <w:rPr>
          <w:rFonts w:ascii="Garamond" w:cs="Garamond" w:eastAsia="Garamond" w:hAnsi="Garamond"/>
          <w:b/>
          <w:bCs/>
          <w:i w:val="false"/>
          <w:iCs w:val="false"/>
          <w:color w:val="1A1A1A"/>
          <w:sz w:val="22"/>
          <w:szCs w:val="22"/>
        </w:rPr>
        <w:t xml:space="preserve">Senior Technical Product Manager</w:t>
      </w:r>
      <w:r>
        <w:rPr>
          <w:rFonts w:ascii="Garamond" w:cs="Garamond" w:eastAsia="Garamond" w:hAnsi="Garamond"/>
          <w:b w:val="false"/>
          <w:bCs w:val="false"/>
          <w:i w:val="false"/>
          <w:iCs w:val="false"/>
          <w:color w:val="888888"/>
          <w:sz w:val="20"/>
          <w:szCs w:val="20"/>
        </w:rPr>
        <w:t xml:space="preserve">  ·  </w:t>
      </w:r>
      <w:r>
        <w:rPr>
          <w:rFonts w:ascii="Garamond" w:cs="Garamond" w:eastAsia="Garamond" w:hAnsi="Garamond"/>
          <w:b w:val="false"/>
          <w:bCs w:val="false"/>
          <w:i/>
          <w:iCs/>
          <w:color w:val="555555"/>
          <w:sz w:val="20"/>
          <w:szCs w:val="20"/>
        </w:rPr>
        <w:t xml:space="preserve">Société Générale</w:t>
      </w:r>
      <w:r>
        <w:rPr>
          <w:rFonts w:ascii="Garamond" w:cs="Garamond" w:eastAsia="Garamond" w:hAnsi="Garamond"/>
          <w:b w:val="false"/>
          <w:bCs w:val="false"/>
          <w:i w:val="false"/>
          <w:iCs w:val="false"/>
          <w:color w:val="888888"/>
          <w:sz w:val="20"/>
          <w:szCs w:val="20"/>
        </w:rPr>
        <w:t xml:space="preserve">  ·  </w:t>
      </w:r>
      <w:r>
        <w:rPr>
          <w:rFonts w:ascii="Garamond" w:cs="Garamond" w:eastAsia="Garamond" w:hAnsi="Garamond"/>
          <w:b w:val="false"/>
          <w:bCs w:val="false"/>
          <w:i w:val="false"/>
          <w:iCs w:val="false"/>
          <w:color w:val="888888"/>
          <w:sz w:val="20"/>
          <w:szCs w:val="20"/>
        </w:rPr>
        <w:t xml:space="preserve">New York, NY</w:t>
      </w:r>
      <w:r>
        <w:rPr>
          <w:rFonts w:ascii="Garamond" w:cs="Garamond" w:eastAsia="Garamond" w:hAnsi="Garamond"/>
          <w:sz w:val="20"/>
          <w:szCs w:val="20"/>
        </w:rPr>
        <w:t xml:space="preserve">	</w:t>
      </w:r>
      <w:r>
        <w:rPr>
          <w:rFonts w:ascii="Calibri" w:cs="Calibri" w:eastAsia="Calibri" w:hAnsi="Calibri"/>
          <w:b w:val="false"/>
          <w:bCs w:val="false"/>
          <w:i w:val="false"/>
          <w:iCs w:val="false"/>
          <w:color w:val="888888"/>
          <w:sz w:val="18"/>
          <w:szCs w:val="18"/>
        </w:rPr>
        <w:t xml:space="preserve">Sep 2017 – Oct 2019</w:t>
      </w:r>
    </w:p>
    <w:p>
      <w:pPr>
        <w:pStyle w:val="ListParagraph"/>
        <w:numPr>
          <w:ilvl w:val="0"/>
          <w:numId w:val="1"/>
        </w:numPr>
        <w:spacing w:after="30" w:before="30"/>
        <w:ind w:left="360" w:hanging="200"/>
      </w:pPr>
      <w:r>
        <w:rPr>
          <w:rFonts w:ascii="Garamond" w:cs="Garamond" w:eastAsia="Garamond" w:hAnsi="Garamond"/>
          <w:b w:val="false"/>
          <w:bCs w:val="false"/>
          <w:i w:val="false"/>
          <w:iCs w:val="false"/>
          <w:color w:val="555555"/>
          <w:sz w:val="20"/>
          <w:szCs w:val="20"/>
        </w:rPr>
        <w:t xml:space="preserve">Delivered federally mandated regulatory reports six weeks ahead of schedule within a $1.5M budget.</w:t>
      </w:r>
    </w:p>
    <w:p>
      <w:pPr>
        <w:pStyle w:val="ListParagraph"/>
        <w:numPr>
          <w:ilvl w:val="0"/>
          <w:numId w:val="1"/>
        </w:numPr>
        <w:spacing w:after="30" w:before="30"/>
        <w:ind w:left="360" w:hanging="200"/>
      </w:pPr>
      <w:r>
        <w:rPr>
          <w:rFonts w:ascii="Garamond" w:cs="Garamond" w:eastAsia="Garamond" w:hAnsi="Garamond"/>
          <w:b w:val="false"/>
          <w:bCs w:val="false"/>
          <w:i w:val="false"/>
          <w:iCs w:val="false"/>
          <w:color w:val="555555"/>
          <w:sz w:val="20"/>
          <w:szCs w:val="20"/>
        </w:rPr>
        <w:t xml:space="preserve">Scaled a team from 6 to 55 — managing hiring documentation, onboarding, coverage planning, and timekeeping — realizing $800K in operational savings.</w:t>
      </w:r>
    </w:p>
    <w:p>
      <w:pPr>
        <w:spacing w:after="20" w:before="120"/>
      </w:pPr>
      <w:r>
        <w:rPr>
          <w:rFonts w:ascii="Garamond" w:cs="Garamond" w:eastAsia="Garamond" w:hAnsi="Garamond"/>
          <w:b w:val="false"/>
          <w:bCs w:val="false"/>
          <w:i w:val="false"/>
          <w:iCs w:val="false"/>
          <w:color w:val="888888"/>
          <w:sz w:val="19"/>
          <w:szCs w:val="19"/>
        </w:rPr>
        <w:t xml:space="preserve">Earlier Roles: Technical Project Manager, progressive responsibilities — Mizuho Bank, Jersey City, NJ (2016–2017)  ·  L'Oréal USA, Berkeley Heights, NJ (2015)  ·  Investors Bank, Short Hills, NJ (2013–2015)  ·  Financial Executives International, Morristown, NJ (2011–2013)</w:t>
      </w:r>
    </w:p>
    <w:p>
      <w:pPr>
        <w:pBdr>
          <w:bottom w:val="single" w:color="2C2C2C" w:sz="8"/>
        </w:pBdr>
        <w:spacing w:after="60" w:before="280"/>
      </w:pPr>
      <w:r>
        <w:rPr>
          <w:rFonts w:ascii="Calibri" w:cs="Calibri" w:eastAsia="Calibri" w:hAnsi="Calibri"/>
          <w:b/>
          <w:bCs/>
          <w:i w:val="false"/>
          <w:iCs w:val="false"/>
          <w:color w:val="1A1A1A"/>
          <w:spacing w:val="80"/>
          <w:sz w:val="18"/>
          <w:szCs w:val="18"/>
        </w:rPr>
        <w:t xml:space="preserve">RESEARCH &amp; SCHOLARLY ENGAGEMENT</w:t>
      </w:r>
    </w:p>
    <w:p>
      <w:pPr>
        <w:tabs>
          <w:tab w:val="right" w:pos="10100"/>
        </w:tabs>
        <w:spacing w:after="40" w:before="160"/>
      </w:pPr>
      <w:r>
        <w:rPr>
          <w:rFonts w:ascii="Garamond" w:cs="Garamond" w:eastAsia="Garamond" w:hAnsi="Garamond"/>
          <w:b/>
          <w:bCs/>
          <w:i w:val="false"/>
          <w:iCs w:val="false"/>
          <w:color w:val="1A1A1A"/>
          <w:sz w:val="22"/>
          <w:szCs w:val="22"/>
        </w:rPr>
        <w:t xml:space="preserve">Graduate Research — MBA Program</w:t>
      </w:r>
      <w:r>
        <w:rPr>
          <w:rFonts w:ascii="Garamond" w:cs="Garamond" w:eastAsia="Garamond" w:hAnsi="Garamond"/>
          <w:b w:val="false"/>
          <w:bCs w:val="false"/>
          <w:i w:val="false"/>
          <w:iCs w:val="false"/>
          <w:color w:val="888888"/>
          <w:sz w:val="20"/>
          <w:szCs w:val="20"/>
        </w:rPr>
        <w:t xml:space="preserve">  ·  </w:t>
      </w:r>
      <w:r>
        <w:rPr>
          <w:rFonts w:ascii="Garamond" w:cs="Garamond" w:eastAsia="Garamond" w:hAnsi="Garamond"/>
          <w:b w:val="false"/>
          <w:bCs w:val="false"/>
          <w:i/>
          <w:iCs/>
          <w:color w:val="555555"/>
          <w:sz w:val="20"/>
          <w:szCs w:val="20"/>
        </w:rPr>
        <w:t xml:space="preserve">Eastern University</w:t>
      </w:r>
      <w:r>
        <w:rPr>
          <w:rFonts w:ascii="Garamond" w:cs="Garamond" w:eastAsia="Garamond" w:hAnsi="Garamond"/>
          <w:b w:val="false"/>
          <w:bCs w:val="false"/>
          <w:i w:val="false"/>
          <w:iCs w:val="false"/>
          <w:color w:val="888888"/>
          <w:sz w:val="20"/>
          <w:szCs w:val="20"/>
        </w:rPr>
        <w:t xml:space="preserve">  ·  </w:t>
      </w:r>
      <w:r>
        <w:rPr>
          <w:rFonts w:ascii="Garamond" w:cs="Garamond" w:eastAsia="Garamond" w:hAnsi="Garamond"/>
          <w:b w:val="false"/>
          <w:bCs w:val="false"/>
          <w:i w:val="false"/>
          <w:iCs w:val="false"/>
          <w:color w:val="888888"/>
          <w:sz w:val="20"/>
          <w:szCs w:val="20"/>
        </w:rPr>
        <w:t xml:space="preserve">St. Davids, PA</w:t>
      </w:r>
      <w:r>
        <w:rPr>
          <w:rFonts w:ascii="Garamond" w:cs="Garamond" w:eastAsia="Garamond" w:hAnsi="Garamond"/>
          <w:sz w:val="20"/>
          <w:szCs w:val="20"/>
        </w:rPr>
        <w:t xml:space="preserve">	</w:t>
      </w:r>
      <w:r>
        <w:rPr>
          <w:rFonts w:ascii="Calibri" w:cs="Calibri" w:eastAsia="Calibri" w:hAnsi="Calibri"/>
          <w:b w:val="false"/>
          <w:bCs w:val="false"/>
          <w:i w:val="false"/>
          <w:iCs w:val="false"/>
          <w:color w:val="888888"/>
          <w:sz w:val="18"/>
          <w:szCs w:val="18"/>
        </w:rPr>
        <w:t xml:space="preserve">2024 – Present</w:t>
      </w:r>
    </w:p>
    <w:p>
      <w:pPr>
        <w:pStyle w:val="ListParagraph"/>
        <w:numPr>
          <w:ilvl w:val="0"/>
          <w:numId w:val="1"/>
        </w:numPr>
        <w:spacing w:after="30" w:before="30"/>
        <w:ind w:left="360" w:hanging="200"/>
      </w:pPr>
      <w:r>
        <w:rPr>
          <w:rFonts w:ascii="Garamond" w:cs="Garamond" w:eastAsia="Garamond" w:hAnsi="Garamond"/>
          <w:b w:val="false"/>
          <w:bCs w:val="false"/>
          <w:i w:val="false"/>
          <w:iCs w:val="false"/>
          <w:color w:val="555555"/>
          <w:sz w:val="20"/>
          <w:szCs w:val="20"/>
        </w:rPr>
        <w:t xml:space="preserve">Conducted applied research on technology adoption and engagement patterns among adult learners; findings informed recommendations on institutional effectiveness and platform optimization.</w:t>
      </w:r>
    </w:p>
    <w:p>
      <w:pPr>
        <w:pStyle w:val="ListParagraph"/>
        <w:numPr>
          <w:ilvl w:val="0"/>
          <w:numId w:val="1"/>
        </w:numPr>
        <w:spacing w:after="30" w:before="30"/>
        <w:ind w:left="360" w:hanging="200"/>
      </w:pPr>
      <w:r>
        <w:rPr>
          <w:rFonts w:ascii="Garamond" w:cs="Garamond" w:eastAsia="Garamond" w:hAnsi="Garamond"/>
          <w:b w:val="false"/>
          <w:bCs w:val="false"/>
          <w:i w:val="false"/>
          <w:iCs w:val="false"/>
          <w:color w:val="555555"/>
          <w:sz w:val="20"/>
          <w:szCs w:val="20"/>
        </w:rPr>
        <w:t xml:space="preserve">Developed data-informed policy recommendations integrating quantitative activity data with qualitative stakeholder analysis to improve recruitment and support delivery for non-traditional students.</w:t>
      </w:r>
    </w:p>
    <w:p>
      <w:pPr>
        <w:pStyle w:val="ListParagraph"/>
        <w:numPr>
          <w:ilvl w:val="0"/>
          <w:numId w:val="1"/>
        </w:numPr>
        <w:spacing w:after="30" w:before="30"/>
        <w:ind w:left="360" w:hanging="200"/>
      </w:pPr>
      <w:r>
        <w:rPr>
          <w:rFonts w:ascii="Garamond" w:cs="Garamond" w:eastAsia="Garamond" w:hAnsi="Garamond"/>
          <w:b w:val="false"/>
          <w:bCs w:val="false"/>
          <w:i w:val="false"/>
          <w:iCs w:val="false"/>
          <w:color w:val="555555"/>
          <w:sz w:val="20"/>
          <w:szCs w:val="20"/>
        </w:rPr>
        <w:t xml:space="preserve">Executed systematic literature reviews on student success frameworks, organizational change, and digital transformation in postsecondary education.</w:t>
      </w:r>
    </w:p>
    <w:p>
      <w:pPr>
        <w:spacing w:after="20" w:before="120"/>
      </w:pPr>
      <w:r>
        <w:rPr>
          <w:rFonts w:ascii="Garamond" w:cs="Garamond" w:eastAsia="Garamond" w:hAnsi="Garamond"/>
          <w:b w:val="false"/>
          <w:bCs w:val="false"/>
          <w:i w:val="false"/>
          <w:iCs w:val="false"/>
          <w:color w:val="888888"/>
          <w:sz w:val="19"/>
          <w:szCs w:val="19"/>
        </w:rPr>
        <w:t xml:space="preserve">Research interests: Recruitment, enrollment and retention of non-traditional students  ·  Program activity data and institutional effectiveness  ·  Data-informed decision-making and continuous improvement  ·  Digital transformation in postsecondary institutions</w:t>
      </w:r>
    </w:p>
    <w:p>
      <w:pPr>
        <w:pBdr>
          <w:bottom w:val="single" w:color="2C2C2C" w:sz="8"/>
        </w:pBdr>
        <w:spacing w:after="60" w:before="280"/>
      </w:pPr>
      <w:r>
        <w:rPr>
          <w:rFonts w:ascii="Calibri" w:cs="Calibri" w:eastAsia="Calibri" w:hAnsi="Calibri"/>
          <w:b/>
          <w:bCs/>
          <w:i w:val="false"/>
          <w:iCs w:val="false"/>
          <w:color w:val="1A1A1A"/>
          <w:spacing w:val="80"/>
          <w:sz w:val="18"/>
          <w:szCs w:val="18"/>
        </w:rPr>
        <w:t xml:space="preserve">SKILLS &amp; SYSTEMS</w:t>
      </w:r>
    </w:p>
    <w:tbl>
      <w:tblPr>
        <w:tblW w:type="pct" w:w="100%"/>
        <w:tblBorders>
          <w:top w:val="none"/>
          <w:left w:val="none"/>
          <w:bottom w:val="none"/>
          <w:right w:val="none"/>
          <w:insideH w:val="none"/>
          <w:insideV w:val="none"/>
        </w:tblBorders>
      </w:tblPr>
      <w:tblGrid>
        <w:gridCol w:w="100"/>
        <w:gridCol w:w="100"/>
      </w:tblGrid>
      <w:tr>
        <w:tc>
          <w:tcPr>
            <w:tcW w:type="pct" w:w="50%"/>
            <w:tcBorders>
              <w:top w:val="none"/>
              <w:left w:val="none"/>
              <w:bottom w:val="none"/>
              <w:right w:val="none"/>
            </w:tcBorders>
          </w:tcPr>
          <w:p>
            <w:pPr>
              <w:spacing w:after="40" w:before="40"/>
            </w:pPr>
            <w:r>
              <w:rPr>
                <w:rFonts w:ascii="Garamond" w:cs="Garamond" w:eastAsia="Garamond" w:hAnsi="Garamond"/>
                <w:b w:val="false"/>
                <w:bCs w:val="false"/>
                <w:i w:val="false"/>
                <w:iCs w:val="false"/>
                <w:color w:val="888888"/>
                <w:sz w:val="19"/>
                <w:szCs w:val="19"/>
              </w:rPr>
              <w:t xml:space="preserve">— </w:t>
            </w:r>
            <w:r>
              <w:rPr>
                <w:rFonts w:ascii="Garamond" w:cs="Garamond" w:eastAsia="Garamond" w:hAnsi="Garamond"/>
                <w:b w:val="false"/>
                <w:bCs w:val="false"/>
                <w:i w:val="false"/>
                <w:iCs w:val="false"/>
                <w:color w:val="555555"/>
                <w:sz w:val="19"/>
                <w:szCs w:val="19"/>
              </w:rPr>
              <w:t xml:space="preserve">Prospective &amp; Current Student Inquiry Response</w:t>
            </w:r>
          </w:p>
        </w:tc>
        <w:tc>
          <w:tcPr>
            <w:tcW w:type="pct" w:w="50%"/>
            <w:tcBorders>
              <w:top w:val="none"/>
              <w:left w:val="none"/>
              <w:bottom w:val="none"/>
              <w:right w:val="none"/>
            </w:tcBorders>
          </w:tcPr>
          <w:p>
            <w:pPr>
              <w:spacing w:after="40" w:before="40"/>
            </w:pPr>
            <w:r>
              <w:rPr>
                <w:rFonts w:ascii="Garamond" w:cs="Garamond" w:eastAsia="Garamond" w:hAnsi="Garamond"/>
                <w:b w:val="false"/>
                <w:bCs w:val="false"/>
                <w:i w:val="false"/>
                <w:iCs w:val="false"/>
                <w:color w:val="888888"/>
                <w:sz w:val="19"/>
                <w:szCs w:val="19"/>
              </w:rPr>
              <w:t xml:space="preserve">— </w:t>
            </w:r>
            <w:r>
              <w:rPr>
                <w:rFonts w:ascii="Garamond" w:cs="Garamond" w:eastAsia="Garamond" w:hAnsi="Garamond"/>
                <w:b w:val="false"/>
                <w:bCs w:val="false"/>
                <w:i w:val="false"/>
                <w:iCs w:val="false"/>
                <w:color w:val="555555"/>
                <w:sz w:val="19"/>
                <w:szCs w:val="19"/>
              </w:rPr>
              <w:t xml:space="preserve">Recruitment Events, Open Houses &amp; Program Coordination</w:t>
            </w:r>
          </w:p>
        </w:tc>
      </w:tr>
      <w:tr>
        <w:tc>
          <w:tcPr>
            <w:tcW w:type="pct" w:w="50%"/>
            <w:tcBorders>
              <w:top w:val="none"/>
              <w:left w:val="none"/>
              <w:bottom w:val="none"/>
              <w:right w:val="none"/>
            </w:tcBorders>
          </w:tcPr>
          <w:p>
            <w:pPr>
              <w:spacing w:after="40" w:before="40"/>
            </w:pPr>
            <w:r>
              <w:rPr>
                <w:rFonts w:ascii="Garamond" w:cs="Garamond" w:eastAsia="Garamond" w:hAnsi="Garamond"/>
                <w:b w:val="false"/>
                <w:bCs w:val="false"/>
                <w:i w:val="false"/>
                <w:iCs w:val="false"/>
                <w:color w:val="888888"/>
                <w:sz w:val="19"/>
                <w:szCs w:val="19"/>
              </w:rPr>
              <w:t xml:space="preserve">— </w:t>
            </w:r>
            <w:r>
              <w:rPr>
                <w:rFonts w:ascii="Garamond" w:cs="Garamond" w:eastAsia="Garamond" w:hAnsi="Garamond"/>
                <w:b w:val="false"/>
                <w:bCs w:val="false"/>
                <w:i w:val="false"/>
                <w:iCs w:val="false"/>
                <w:color w:val="555555"/>
                <w:sz w:val="19"/>
                <w:szCs w:val="19"/>
              </w:rPr>
              <w:t xml:space="preserve">Enrollment, Registration &amp; Records Operations</w:t>
            </w:r>
          </w:p>
        </w:tc>
        <w:tc>
          <w:tcPr>
            <w:tcW w:type="pct" w:w="50%"/>
            <w:tcBorders>
              <w:top w:val="none"/>
              <w:left w:val="none"/>
              <w:bottom w:val="none"/>
              <w:right w:val="none"/>
            </w:tcBorders>
          </w:tcPr>
          <w:p>
            <w:pPr>
              <w:spacing w:after="40" w:before="40"/>
            </w:pPr>
            <w:r>
              <w:rPr>
                <w:rFonts w:ascii="Garamond" w:cs="Garamond" w:eastAsia="Garamond" w:hAnsi="Garamond"/>
                <w:b w:val="false"/>
                <w:bCs w:val="false"/>
                <w:i w:val="false"/>
                <w:iCs w:val="false"/>
                <w:color w:val="888888"/>
                <w:sz w:val="19"/>
                <w:szCs w:val="19"/>
              </w:rPr>
              <w:t xml:space="preserve">— </w:t>
            </w:r>
            <w:r>
              <w:rPr>
                <w:rFonts w:ascii="Garamond" w:cs="Garamond" w:eastAsia="Garamond" w:hAnsi="Garamond"/>
                <w:b w:val="false"/>
                <w:bCs w:val="false"/>
                <w:i w:val="false"/>
                <w:iCs w:val="false"/>
                <w:color w:val="555555"/>
                <w:sz w:val="19"/>
                <w:szCs w:val="19"/>
              </w:rPr>
              <w:t xml:space="preserve">CRM / ERP &amp; Records Systems (Salesforce, MS Dynamics 365, SAP)</w:t>
            </w:r>
          </w:p>
        </w:tc>
      </w:tr>
      <w:tr>
        <w:tc>
          <w:tcPr>
            <w:tcW w:type="pct" w:w="50%"/>
            <w:tcBorders>
              <w:top w:val="none"/>
              <w:left w:val="none"/>
              <w:bottom w:val="none"/>
              <w:right w:val="none"/>
            </w:tcBorders>
          </w:tcPr>
          <w:p>
            <w:pPr>
              <w:spacing w:after="40" w:before="40"/>
            </w:pPr>
            <w:r>
              <w:rPr>
                <w:rFonts w:ascii="Garamond" w:cs="Garamond" w:eastAsia="Garamond" w:hAnsi="Garamond"/>
                <w:b w:val="false"/>
                <w:bCs w:val="false"/>
                <w:i w:val="false"/>
                <w:iCs w:val="false"/>
                <w:color w:val="888888"/>
                <w:sz w:val="19"/>
                <w:szCs w:val="19"/>
              </w:rPr>
              <w:t xml:space="preserve">— </w:t>
            </w:r>
            <w:r>
              <w:rPr>
                <w:rFonts w:ascii="Garamond" w:cs="Garamond" w:eastAsia="Garamond" w:hAnsi="Garamond"/>
                <w:b w:val="false"/>
                <w:bCs w:val="false"/>
                <w:i w:val="false"/>
                <w:iCs w:val="false"/>
                <w:color w:val="555555"/>
                <w:sz w:val="19"/>
                <w:szCs w:val="19"/>
              </w:rPr>
              <w:t xml:space="preserve">Program Activity Data Collection &amp; Analysis</w:t>
            </w:r>
          </w:p>
        </w:tc>
        <w:tc>
          <w:tcPr>
            <w:tcW w:type="pct" w:w="50%"/>
            <w:tcBorders>
              <w:top w:val="none"/>
              <w:left w:val="none"/>
              <w:bottom w:val="none"/>
              <w:right w:val="none"/>
            </w:tcBorders>
          </w:tcPr>
          <w:p>
            <w:pPr>
              <w:spacing w:after="40" w:before="40"/>
            </w:pPr>
            <w:r>
              <w:rPr>
                <w:rFonts w:ascii="Garamond" w:cs="Garamond" w:eastAsia="Garamond" w:hAnsi="Garamond"/>
                <w:b w:val="false"/>
                <w:bCs w:val="false"/>
                <w:i w:val="false"/>
                <w:iCs w:val="false"/>
                <w:color w:val="888888"/>
                <w:sz w:val="19"/>
                <w:szCs w:val="19"/>
              </w:rPr>
              <w:t xml:space="preserve">— </w:t>
            </w:r>
            <w:r>
              <w:rPr>
                <w:rFonts w:ascii="Garamond" w:cs="Garamond" w:eastAsia="Garamond" w:hAnsi="Garamond"/>
                <w:b w:val="false"/>
                <w:bCs w:val="false"/>
                <w:i w:val="false"/>
                <w:iCs w:val="false"/>
                <w:color w:val="555555"/>
                <w:sz w:val="19"/>
                <w:szCs w:val="19"/>
              </w:rPr>
              <w:t xml:space="preserve">Stakeholder, Faculty &amp; Executive Communication</w:t>
            </w:r>
          </w:p>
        </w:tc>
      </w:tr>
      <w:tr>
        <w:tc>
          <w:tcPr>
            <w:tcW w:type="pct" w:w="50%"/>
            <w:tcBorders>
              <w:top w:val="none"/>
              <w:left w:val="none"/>
              <w:bottom w:val="none"/>
              <w:right w:val="none"/>
            </w:tcBorders>
          </w:tcPr>
          <w:p>
            <w:pPr>
              <w:spacing w:after="40" w:before="40"/>
            </w:pPr>
            <w:r>
              <w:rPr>
                <w:rFonts w:ascii="Garamond" w:cs="Garamond" w:eastAsia="Garamond" w:hAnsi="Garamond"/>
                <w:b w:val="false"/>
                <w:bCs w:val="false"/>
                <w:i w:val="false"/>
                <w:iCs w:val="false"/>
                <w:color w:val="888888"/>
                <w:sz w:val="19"/>
                <w:szCs w:val="19"/>
              </w:rPr>
              <w:t xml:space="preserve">— </w:t>
            </w:r>
            <w:r>
              <w:rPr>
                <w:rFonts w:ascii="Garamond" w:cs="Garamond" w:eastAsia="Garamond" w:hAnsi="Garamond"/>
                <w:b w:val="false"/>
                <w:bCs w:val="false"/>
                <w:i w:val="false"/>
                <w:iCs w:val="false"/>
                <w:color w:val="555555"/>
                <w:sz w:val="19"/>
                <w:szCs w:val="19"/>
              </w:rPr>
              <w:t xml:space="preserve">Outreach Communications &amp; Promotional Materials</w:t>
            </w:r>
          </w:p>
        </w:tc>
        <w:tc>
          <w:tcPr>
            <w:tcW w:type="pct" w:w="50%"/>
            <w:tcBorders>
              <w:top w:val="none"/>
              <w:left w:val="none"/>
              <w:bottom w:val="none"/>
              <w:right w:val="none"/>
            </w:tcBorders>
          </w:tcPr>
          <w:p>
            <w:pPr>
              <w:spacing w:after="40" w:before="40"/>
            </w:pPr>
            <w:r>
              <w:rPr>
                <w:rFonts w:ascii="Garamond" w:cs="Garamond" w:eastAsia="Garamond" w:hAnsi="Garamond"/>
                <w:b w:val="false"/>
                <w:bCs w:val="false"/>
                <w:i w:val="false"/>
                <w:iCs w:val="false"/>
                <w:color w:val="888888"/>
                <w:sz w:val="19"/>
                <w:szCs w:val="19"/>
              </w:rPr>
              <w:t xml:space="preserve">— </w:t>
            </w:r>
            <w:r>
              <w:rPr>
                <w:rFonts w:ascii="Garamond" w:cs="Garamond" w:eastAsia="Garamond" w:hAnsi="Garamond"/>
                <w:b w:val="false"/>
                <w:bCs w:val="false"/>
                <w:i w:val="false"/>
                <w:iCs w:val="false"/>
                <w:color w:val="555555"/>
                <w:sz w:val="19"/>
                <w:szCs w:val="19"/>
              </w:rPr>
              <w:t xml:space="preserve">Confidential &amp; FERPA-Sensitive Records Handling</w:t>
            </w:r>
          </w:p>
        </w:tc>
      </w:tr>
      <w:tr>
        <w:tc>
          <w:tcPr>
            <w:tcW w:type="pct" w:w="50%"/>
            <w:tcBorders>
              <w:top w:val="none"/>
              <w:left w:val="none"/>
              <w:bottom w:val="none"/>
              <w:right w:val="none"/>
            </w:tcBorders>
          </w:tcPr>
          <w:p>
            <w:pPr>
              <w:spacing w:after="40" w:before="40"/>
            </w:pPr>
            <w:r>
              <w:rPr>
                <w:rFonts w:ascii="Garamond" w:cs="Garamond" w:eastAsia="Garamond" w:hAnsi="Garamond"/>
                <w:b w:val="false"/>
                <w:bCs w:val="false"/>
                <w:i w:val="false"/>
                <w:iCs w:val="false"/>
                <w:color w:val="888888"/>
                <w:sz w:val="19"/>
                <w:szCs w:val="19"/>
              </w:rPr>
              <w:t xml:space="preserve">— </w:t>
            </w:r>
            <w:r>
              <w:rPr>
                <w:rFonts w:ascii="Garamond" w:cs="Garamond" w:eastAsia="Garamond" w:hAnsi="Garamond"/>
                <w:b w:val="false"/>
                <w:bCs w:val="false"/>
                <w:i w:val="false"/>
                <w:iCs w:val="false"/>
                <w:color w:val="555555"/>
                <w:sz w:val="19"/>
                <w:szCs w:val="19"/>
              </w:rPr>
              <w:t xml:space="preserve">Microsoft 365, SharePoint, Excel, Teams</w:t>
            </w:r>
          </w:p>
        </w:tc>
        <w:tc>
          <w:tcPr>
            <w:tcW w:type="pct" w:w="50%"/>
            <w:tcBorders>
              <w:top w:val="none"/>
              <w:left w:val="none"/>
              <w:bottom w:val="none"/>
              <w:right w:val="none"/>
            </w:tcBorders>
          </w:tcPr>
          <w:p>
            <w:pPr>
              <w:spacing w:after="40" w:before="40"/>
            </w:pPr>
            <w:r>
              <w:rPr>
                <w:rFonts w:ascii="Garamond" w:cs="Garamond" w:eastAsia="Garamond" w:hAnsi="Garamond"/>
                <w:b w:val="false"/>
                <w:bCs w:val="false"/>
                <w:i w:val="false"/>
                <w:iCs w:val="false"/>
                <w:color w:val="888888"/>
                <w:sz w:val="19"/>
                <w:szCs w:val="19"/>
              </w:rPr>
              <w:t xml:space="preserve">— </w:t>
            </w:r>
            <w:r>
              <w:rPr>
                <w:rFonts w:ascii="Garamond" w:cs="Garamond" w:eastAsia="Garamond" w:hAnsi="Garamond"/>
                <w:b w:val="false"/>
                <w:bCs w:val="false"/>
                <w:i w:val="false"/>
                <w:iCs w:val="false"/>
                <w:color w:val="555555"/>
                <w:sz w:val="19"/>
                <w:szCs w:val="19"/>
              </w:rPr>
              <w:t xml:space="preserve">Data Analysis &amp; Reporting (Power BI, Tableau)</w:t>
            </w:r>
          </w:p>
        </w:tc>
      </w:tr>
      <w:tr>
        <w:tc>
          <w:tcPr>
            <w:tcW w:type="pct" w:w="50%"/>
            <w:tcBorders>
              <w:top w:val="none"/>
              <w:left w:val="none"/>
              <w:bottom w:val="none"/>
              <w:right w:val="none"/>
            </w:tcBorders>
          </w:tcPr>
          <w:p>
            <w:pPr>
              <w:spacing w:after="40" w:before="40"/>
            </w:pPr>
            <w:r>
              <w:rPr>
                <w:rFonts w:ascii="Garamond" w:cs="Garamond" w:eastAsia="Garamond" w:hAnsi="Garamond"/>
                <w:b w:val="false"/>
                <w:bCs w:val="false"/>
                <w:i w:val="false"/>
                <w:iCs w:val="false"/>
                <w:color w:val="888888"/>
                <w:sz w:val="19"/>
                <w:szCs w:val="19"/>
              </w:rPr>
              <w:t xml:space="preserve">— </w:t>
            </w:r>
            <w:r>
              <w:rPr>
                <w:rFonts w:ascii="Garamond" w:cs="Garamond" w:eastAsia="Garamond" w:hAnsi="Garamond"/>
                <w:b w:val="false"/>
                <w:bCs w:val="false"/>
                <w:i w:val="false"/>
                <w:iCs w:val="false"/>
                <w:color w:val="555555"/>
                <w:sz w:val="19"/>
                <w:szCs w:val="19"/>
              </w:rPr>
              <w:t xml:space="preserve">SOPs, Trackers &amp; Process Documentation</w:t>
            </w:r>
          </w:p>
        </w:tc>
        <w:tc>
          <w:tcPr>
            <w:tcW w:type="pct" w:w="50%"/>
            <w:tcBorders>
              <w:top w:val="none"/>
              <w:left w:val="none"/>
              <w:bottom w:val="none"/>
              <w:right w:val="none"/>
            </w:tcBorders>
          </w:tcPr>
          <w:p>
            <w:pPr>
              <w:spacing w:after="40" w:before="40"/>
            </w:pPr>
            <w:r>
              <w:rPr>
                <w:rFonts w:ascii="Garamond" w:cs="Garamond" w:eastAsia="Garamond" w:hAnsi="Garamond"/>
                <w:b w:val="false"/>
                <w:bCs w:val="false"/>
                <w:i w:val="false"/>
                <w:iCs w:val="false"/>
                <w:color w:val="888888"/>
                <w:sz w:val="19"/>
                <w:szCs w:val="19"/>
              </w:rPr>
              <w:t xml:space="preserve">— </w:t>
            </w:r>
            <w:r>
              <w:rPr>
                <w:rFonts w:ascii="Garamond" w:cs="Garamond" w:eastAsia="Garamond" w:hAnsi="Garamond"/>
                <w:b w:val="false"/>
                <w:bCs w:val="false"/>
                <w:i w:val="false"/>
                <w:iCs w:val="false"/>
                <w:color w:val="555555"/>
                <w:sz w:val="19"/>
                <w:szCs w:val="19"/>
              </w:rPr>
              <w:t xml:space="preserve">LMS &amp; Student Platforms (Canvas, Brightspace, Moodle)</w:t>
            </w:r>
          </w:p>
        </w:tc>
      </w:tr>
      <w:tr>
        <w:tc>
          <w:tcPr>
            <w:tcW w:type="pct" w:w="50%"/>
            <w:tcBorders>
              <w:top w:val="none"/>
              <w:left w:val="none"/>
              <w:bottom w:val="none"/>
              <w:right w:val="none"/>
            </w:tcBorders>
          </w:tcPr>
          <w:p>
            <w:pPr>
              <w:spacing w:after="40" w:before="40"/>
            </w:pPr>
            <w:r>
              <w:rPr>
                <w:rFonts w:ascii="Garamond" w:cs="Garamond" w:eastAsia="Garamond" w:hAnsi="Garamond"/>
                <w:b w:val="false"/>
                <w:bCs w:val="false"/>
                <w:i w:val="false"/>
                <w:iCs w:val="false"/>
                <w:color w:val="888888"/>
                <w:sz w:val="19"/>
                <w:szCs w:val="19"/>
              </w:rPr>
              <w:t xml:space="preserve">— </w:t>
            </w:r>
            <w:r>
              <w:rPr>
                <w:rFonts w:ascii="Garamond" w:cs="Garamond" w:eastAsia="Garamond" w:hAnsi="Garamond"/>
                <w:b w:val="false"/>
                <w:bCs w:val="false"/>
                <w:i w:val="false"/>
                <w:iCs w:val="false"/>
                <w:color w:val="555555"/>
                <w:sz w:val="19"/>
                <w:szCs w:val="19"/>
              </w:rPr>
              <w:t xml:space="preserve">Project Management (Agile, Scrum, Waterfall; PMP in progress)</w:t>
            </w:r>
          </w:p>
        </w:tc>
        <w:tc>
          <w:tcPr>
            <w:tcW w:type="pct" w:w="50%"/>
            <w:tcBorders>
              <w:top w:val="none"/>
              <w:left w:val="none"/>
              <w:bottom w:val="none"/>
              <w:right w:val="none"/>
            </w:tcBorders>
          </w:tcPr>
          <w:p>
            <w:pPr>
              <w:spacing w:after="40" w:before="40"/>
            </w:pPr>
            <w:r>
              <w:rPr>
                <w:rFonts w:ascii="Garamond" w:cs="Garamond" w:eastAsia="Garamond" w:hAnsi="Garamond"/>
                <w:b w:val="false"/>
                <w:bCs w:val="false"/>
                <w:i w:val="false"/>
                <w:iCs w:val="false"/>
                <w:color w:val="888888"/>
                <w:sz w:val="19"/>
                <w:szCs w:val="19"/>
              </w:rPr>
              <w:t xml:space="preserve">— </w:t>
            </w:r>
            <w:r>
              <w:rPr>
                <w:rFonts w:ascii="Garamond" w:cs="Garamond" w:eastAsia="Garamond" w:hAnsi="Garamond"/>
                <w:b w:val="false"/>
                <w:bCs w:val="false"/>
                <w:i w:val="false"/>
                <w:iCs w:val="false"/>
                <w:color w:val="555555"/>
                <w:sz w:val="19"/>
                <w:szCs w:val="19"/>
              </w:rPr>
              <w:t xml:space="preserve">Applied Institutional Analytics &amp; Research Design</w:t>
            </w:r>
          </w:p>
        </w:tc>
      </w:tr>
    </w:tbl>
    <w:p>
      <w:pPr>
        <w:pBdr>
          <w:bottom w:val="single" w:color="2C2C2C" w:sz="8"/>
        </w:pBdr>
        <w:spacing w:after="60" w:before="280"/>
      </w:pPr>
      <w:r>
        <w:rPr>
          <w:rFonts w:ascii="Calibri" w:cs="Calibri" w:eastAsia="Calibri" w:hAnsi="Calibri"/>
          <w:b/>
          <w:bCs/>
          <w:i w:val="false"/>
          <w:iCs w:val="false"/>
          <w:color w:val="1A1A1A"/>
          <w:spacing w:val="80"/>
          <w:sz w:val="18"/>
          <w:szCs w:val="18"/>
        </w:rPr>
        <w:t xml:space="preserve">CERTIFICATIONS &amp; AFFILIATIONS</w:t>
      </w:r>
    </w:p>
    <w:p>
      <w:pPr>
        <w:spacing w:after="30" w:before="30"/>
      </w:pPr>
      <w:r>
        <w:rPr>
          <w:rFonts w:ascii="Garamond" w:cs="Garamond" w:eastAsia="Garamond" w:hAnsi="Garamond"/>
          <w:b w:val="false"/>
          <w:bCs w:val="false"/>
          <w:i w:val="false"/>
          <w:iCs w:val="false"/>
          <w:color w:val="888888"/>
          <w:sz w:val="19"/>
          <w:szCs w:val="19"/>
        </w:rPr>
        <w:t xml:space="preserve">— </w:t>
      </w:r>
      <w:r>
        <w:rPr>
          <w:rFonts w:ascii="Garamond" w:cs="Garamond" w:eastAsia="Garamond" w:hAnsi="Garamond"/>
          <w:b w:val="false"/>
          <w:bCs w:val="false"/>
          <w:i w:val="false"/>
          <w:iCs w:val="false"/>
          <w:color w:val="555555"/>
          <w:sz w:val="19"/>
          <w:szCs w:val="19"/>
        </w:rPr>
        <w:t xml:space="preserve">Project Management Institute (PMI) — NJ Chapter Member &amp; Volunteer, 2024–Present</w:t>
      </w:r>
    </w:p>
    <w:p>
      <w:pPr>
        <w:spacing w:after="30" w:before="30"/>
      </w:pPr>
      <w:r>
        <w:rPr>
          <w:rFonts w:ascii="Garamond" w:cs="Garamond" w:eastAsia="Garamond" w:hAnsi="Garamond"/>
          <w:b w:val="false"/>
          <w:bCs w:val="false"/>
          <w:i w:val="false"/>
          <w:iCs w:val="false"/>
          <w:color w:val="888888"/>
          <w:sz w:val="19"/>
          <w:szCs w:val="19"/>
        </w:rPr>
        <w:t xml:space="preserve">— </w:t>
      </w:r>
      <w:r>
        <w:rPr>
          <w:rFonts w:ascii="Garamond" w:cs="Garamond" w:eastAsia="Garamond" w:hAnsi="Garamond"/>
          <w:b w:val="false"/>
          <w:bCs w:val="false"/>
          <w:i w:val="false"/>
          <w:iCs w:val="false"/>
          <w:color w:val="555555"/>
          <w:sz w:val="19"/>
          <w:szCs w:val="19"/>
        </w:rPr>
        <w:t xml:space="preserve">Software Engineering Bootcamp — General Assembly, 2025</w:t>
      </w:r>
    </w:p>
    <w:p>
      <w:pPr>
        <w:spacing w:after="30" w:before="30"/>
      </w:pPr>
      <w:r>
        <w:rPr>
          <w:rFonts w:ascii="Garamond" w:cs="Garamond" w:eastAsia="Garamond" w:hAnsi="Garamond"/>
          <w:b w:val="false"/>
          <w:bCs w:val="false"/>
          <w:i w:val="false"/>
          <w:iCs w:val="false"/>
          <w:color w:val="888888"/>
          <w:sz w:val="19"/>
          <w:szCs w:val="19"/>
        </w:rPr>
        <w:t xml:space="preserve">— </w:t>
      </w:r>
      <w:r>
        <w:rPr>
          <w:rFonts w:ascii="Garamond" w:cs="Garamond" w:eastAsia="Garamond" w:hAnsi="Garamond"/>
          <w:b w:val="false"/>
          <w:bCs w:val="false"/>
          <w:i w:val="false"/>
          <w:iCs w:val="false"/>
          <w:color w:val="555555"/>
          <w:sz w:val="19"/>
          <w:szCs w:val="19"/>
        </w:rPr>
        <w:t xml:space="preserve">Goode Education Group — Clean Energy Program Fellow, 2024</w:t>
      </w:r>
    </w:p>
    <w:p>
      <w:pPr>
        <w:spacing w:after="30" w:before="30"/>
      </w:pPr>
      <w:r>
        <w:rPr>
          <w:rFonts w:ascii="Garamond" w:cs="Garamond" w:eastAsia="Garamond" w:hAnsi="Garamond"/>
          <w:b w:val="false"/>
          <w:bCs w:val="false"/>
          <w:i w:val="false"/>
          <w:iCs w:val="false"/>
          <w:color w:val="888888"/>
          <w:sz w:val="19"/>
          <w:szCs w:val="19"/>
        </w:rPr>
        <w:t xml:space="preserve">— </w:t>
      </w:r>
      <w:r>
        <w:rPr>
          <w:rFonts w:ascii="Garamond" w:cs="Garamond" w:eastAsia="Garamond" w:hAnsi="Garamond"/>
          <w:b w:val="false"/>
          <w:bCs w:val="false"/>
          <w:i w:val="false"/>
          <w:iCs w:val="false"/>
          <w:color w:val="555555"/>
          <w:sz w:val="19"/>
          <w:szCs w:val="19"/>
        </w:rPr>
        <w:t xml:space="preserve">Building Science Principles — Building Performance Institute</w:t>
      </w:r>
    </w:p>
    <w:p>
      <w:pPr>
        <w:pBdr>
          <w:bottom w:val="single" w:color="2C2C2C" w:sz="8"/>
        </w:pBdr>
        <w:spacing w:after="60" w:before="280"/>
      </w:pPr>
      <w:r>
        <w:rPr>
          <w:rFonts w:ascii="Calibri" w:cs="Calibri" w:eastAsia="Calibri" w:hAnsi="Calibri"/>
          <w:b/>
          <w:bCs/>
          <w:i w:val="false"/>
          <w:iCs w:val="false"/>
          <w:color w:val="1A1A1A"/>
          <w:spacing w:val="80"/>
          <w:sz w:val="18"/>
          <w:szCs w:val="18"/>
        </w:rPr>
        <w:t xml:space="preserve">ADDITIONAL</w:t>
      </w:r>
    </w:p>
    <w:p>
      <w:pPr>
        <w:spacing w:after="20" w:before="100"/>
      </w:pPr>
      <w:r>
        <w:rPr>
          <w:rFonts w:ascii="Garamond" w:cs="Garamond" w:eastAsia="Garamond" w:hAnsi="Garamond"/>
          <w:b w:val="false"/>
          <w:bCs w:val="false"/>
          <w:i w:val="false"/>
          <w:iCs w:val="false"/>
          <w:color w:val="555555"/>
          <w:sz w:val="19"/>
          <w:szCs w:val="19"/>
        </w:rPr>
        <w:t xml:space="preserve">Martial Arts — Jeet Kune Do (Fist of Interception Institute), Level 3 student under Vincent Benitez</w:t>
      </w:r>
    </w:p>
    <w:sectPr>
      <w:pgSz w:h="16838" w:w="11906"/>
      <w:pgMar w:bottom="720" w:footer="720" w:gutter="0" w:header="720" w:left="900" w:right="900" w:top="720"/>
      <w:cols w:space="72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aramond" w:cs="Garamond" w:eastAsia="Garamond" w:hAnsi="Garamond"/>
        <w:color w:val="555555"/>
        <w:sz w:val="20"/>
        <w:szCs w:val="20"/>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2026-08-14T04:44:38.700Z</dcterms:created>
  <dcterms:modified xsi:type="dcterms:W3CDTF">2026-08-14T04:44:38.701Z</dcterms:modified>
</cp:coreProperties>
</file>

<file path=docProps/custom.xml><?xml version="1.0" encoding="utf-8"?>
<Properties xmlns="http://schemas.openxmlformats.org/officeDocument/2006/custom-properties" xmlns:vt="http://schemas.openxmlformats.org/officeDocument/2006/docPropsVTypes"/>
</file>