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left"/>
      </w:pPr>
      <w:r>
        <w:rPr>
          <w:rFonts w:ascii="Calibri" w:cs="Calibri" w:eastAsia="Calibri" w:hAnsi="Calibri"/>
          <w:b w:val="false"/>
          <w:bCs w:val="false"/>
          <w:i w:val="false"/>
          <w:iCs w:val="false"/>
          <w:color w:val="1A1A1A"/>
          <w:spacing w:val="100"/>
          <w:sz w:val="48"/>
          <w:szCs w:val="48"/>
        </w:rPr>
        <w:t xml:space="preserve">MAX MIHIR OZA</w:t>
      </w:r>
    </w:p>
    <w:p>
      <w:pPr>
        <w:spacing w:after="80" w:before="0"/>
        <w:jc w:val="left"/>
      </w:pPr>
      <w:r>
        <w:rPr>
          <w:rFonts w:ascii="Calibri" w:cs="Calibri" w:eastAsia="Calibri" w:hAnsi="Calibri"/>
          <w:b w:val="false"/>
          <w:bCs w:val="false"/>
          <w:i w:val="false"/>
          <w:iCs w:val="false"/>
          <w:color w:val="888888"/>
          <w:sz w:val="18"/>
          <w:szCs w:val="18"/>
        </w:rPr>
        <w:t xml:space="preserve">Parsippany, NJ</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201 247 1371</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ozamihir@shu.edu</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linkedin.com/in/mihir-oza</w:t>
      </w:r>
    </w:p>
    <w:p>
      <w:pPr>
        <w:pBdr>
          <w:bottom w:val="single" w:color="CCCCCC" w:sz="6"/>
        </w:pBdr>
        <w:spacing w:after="120" w:before="80"/>
      </w:pPr>
    </w:p>
    <w:p>
      <w:pPr>
        <w:spacing w:after="240" w:before="0"/>
        <w:jc w:val="left"/>
      </w:pPr>
      <w:r>
        <w:rPr>
          <w:rFonts w:ascii="Garamond" w:cs="Garamond" w:eastAsia="Garamond" w:hAnsi="Garamond"/>
          <w:b w:val="false"/>
          <w:bCs w:val="false"/>
          <w:i w:val="false"/>
          <w:iCs w:val="false"/>
          <w:color w:val="888888"/>
          <w:sz w:val="20"/>
          <w:szCs w:val="20"/>
        </w:rPr>
        <w:t xml:space="preserve">August 24, 2026</w:t>
      </w:r>
    </w:p>
    <w:p>
      <w:pPr>
        <w:spacing w:after="60" w:before="0"/>
        <w:jc w:val="left"/>
      </w:pPr>
      <w:r>
        <w:rPr>
          <w:rFonts w:ascii="Garamond" w:cs="Garamond" w:eastAsia="Garamond" w:hAnsi="Garamond"/>
          <w:b/>
          <w:bCs/>
          <w:i w:val="false"/>
          <w:iCs w:val="false"/>
          <w:color w:val="2C2C2C"/>
          <w:sz w:val="22"/>
          <w:szCs w:val="22"/>
        </w:rPr>
        <w:t xml:space="preserve">Search Committee</w:t>
      </w:r>
    </w:p>
    <w:p>
      <w:pPr>
        <w:spacing w:after="60" w:before="0"/>
        <w:jc w:val="left"/>
      </w:pPr>
      <w:r>
        <w:rPr>
          <w:rFonts w:ascii="Garamond" w:cs="Garamond" w:eastAsia="Garamond" w:hAnsi="Garamond"/>
          <w:b w:val="false"/>
          <w:bCs w:val="false"/>
          <w:i w:val="false"/>
          <w:iCs w:val="false"/>
          <w:color w:val="555555"/>
          <w:sz w:val="20"/>
          <w:szCs w:val="20"/>
        </w:rPr>
        <w:t xml:space="preserve">Associate Dean for Nursing Research and Graduate Department Search</w:t>
      </w:r>
    </w:p>
    <w:p>
      <w:pPr>
        <w:spacing w:after="60" w:before="0"/>
        <w:jc w:val="left"/>
      </w:pPr>
      <w:r>
        <w:rPr>
          <w:rFonts w:ascii="Garamond" w:cs="Garamond" w:eastAsia="Garamond" w:hAnsi="Garamond"/>
          <w:b w:val="false"/>
          <w:bCs w:val="false"/>
          <w:i w:val="false"/>
          <w:iCs w:val="false"/>
          <w:color w:val="555555"/>
          <w:sz w:val="20"/>
          <w:szCs w:val="20"/>
        </w:rPr>
        <w:t xml:space="preserve">College of Nursing  ·  Seton Hall University</w:t>
      </w:r>
    </w:p>
    <w:p>
      <w:pPr>
        <w:spacing w:after="60" w:before="0"/>
        <w:jc w:val="left"/>
      </w:pPr>
      <w:r>
        <w:rPr>
          <w:rFonts w:ascii="Garamond" w:cs="Garamond" w:eastAsia="Garamond" w:hAnsi="Garamond"/>
          <w:b w:val="false"/>
          <w:bCs w:val="false"/>
          <w:i w:val="false"/>
          <w:iCs w:val="false"/>
          <w:color w:val="555555"/>
          <w:sz w:val="20"/>
          <w:szCs w:val="20"/>
        </w:rPr>
        <w:t xml:space="preserve">South Orange, New Jersey</w:t>
      </w:r>
    </w:p>
    <w:p>
      <w:pPr>
        <w:spacing w:after="280" w:before="0"/>
        <w:jc w:val="left"/>
      </w:pPr>
      <w:r>
        <w:rPr>
          <w:rFonts w:ascii="Garamond" w:cs="Garamond" w:eastAsia="Garamond" w:hAnsi="Garamond"/>
          <w:b w:val="false"/>
          <w:bCs w:val="false"/>
          <w:i/>
          <w:iCs/>
          <w:color w:val="888888"/>
          <w:sz w:val="19"/>
          <w:szCs w:val="19"/>
        </w:rPr>
        <w:t xml:space="preserve">Re: Associate Dean for Nursing Research and Graduate Department (Job No. 497372)</w:t>
      </w:r>
    </w:p>
    <w:p>
      <w:pPr>
        <w:spacing w:after="200" w:before="0"/>
        <w:jc w:val="left"/>
      </w:pPr>
      <w:r>
        <w:rPr>
          <w:rFonts w:ascii="Garamond" w:cs="Garamond" w:eastAsia="Garamond" w:hAnsi="Garamond"/>
          <w:b w:val="false"/>
          <w:bCs w:val="false"/>
          <w:i w:val="false"/>
          <w:iCs w:val="false"/>
          <w:color w:val="2C2C2C"/>
          <w:sz w:val="21"/>
          <w:szCs w:val="21"/>
        </w:rPr>
        <w:t xml:space="preserve">Dear Members of the Search Committee,</w:t>
      </w:r>
    </w:p>
    <w:p>
      <w:pPr>
        <w:spacing w:after="200" w:before="0"/>
        <w:jc w:val="left"/>
      </w:pPr>
      <w:r>
        <w:rPr>
          <w:rFonts w:ascii="Garamond" w:cs="Garamond" w:eastAsia="Garamond" w:hAnsi="Garamond"/>
          <w:b w:val="false"/>
          <w:bCs w:val="false"/>
          <w:i w:val="false"/>
          <w:iCs w:val="false"/>
          <w:color w:val="444444"/>
          <w:sz w:val="21"/>
          <w:szCs w:val="21"/>
        </w:rPr>
        <w:t xml:space="preserve">I am writing regarding the Associate Dean for Nursing Research and Graduate Department position in the College of Nursing, and I begin with the disqualifying fact rather than burying it: I do not hold a PhD in Nursing and I am not a licensed registered nurse in New Jersey. Both are stated requirements of this position. If the committee reads them as absolute, and there is every reason to, this letter should go no further, and I will not have wasted much of your time.</w:t>
      </w:r>
    </w:p>
    <w:p>
      <w:pPr>
        <w:spacing w:after="200" w:before="0"/>
        <w:jc w:val="left"/>
      </w:pPr>
      <w:r>
        <w:rPr>
          <w:rFonts w:ascii="Garamond" w:cs="Garamond" w:eastAsia="Garamond" w:hAnsi="Garamond"/>
          <w:b w:val="false"/>
          <w:bCs w:val="false"/>
          <w:i w:val="false"/>
          <w:iCs w:val="false"/>
          <w:color w:val="444444"/>
          <w:sz w:val="21"/>
          <w:szCs w:val="21"/>
        </w:rPr>
        <w:t xml:space="preserve">I am writing anyway because roughly half of what the posting describes is administrative rather than clinical or scholarly, and because I am joining Seton Hall this fall as a doctoral student in Higher Education Leadership, Management and Policy. Graduate inquiry response, admissions and enrollment coordination, student progression monitoring, accreditation self-study and annual reporting, and liaison work with the Faculty Development Committee and the University library are functions I have performed or built, and if the College concludes that the leadership of this role must be a nurse scientist, the operating half of it may still need someone.</w:t>
      </w:r>
    </w:p>
    <w:p>
      <w:pPr>
        <w:spacing w:after="200" w:before="0"/>
        <w:jc w:val="left"/>
      </w:pPr>
      <w:r>
        <w:rPr>
          <w:rFonts w:ascii="Garamond" w:cs="Garamond" w:eastAsia="Garamond" w:hAnsi="Garamond"/>
          <w:b w:val="false"/>
          <w:bCs w:val="false"/>
          <w:i w:val="false"/>
          <w:iCs w:val="false"/>
          <w:color w:val="444444"/>
          <w:sz w:val="21"/>
          <w:szCs w:val="21"/>
        </w:rPr>
        <w:t xml:space="preserve">As a Graduate Assistant at Eastern University I ran the operational spine of two high-enrollment courses serving more than 200 students a semester: enrollment monitoring, academic records maintenance, section setup, and academic progress monitoring in collaboration with faculty, along with first-contact inquiry response and referrals tracked through to resolution. I worked with student performance data under strict confidentiality and used trend analysis to identify students at risk of falling behind, producing the reports faculty used to intervene. That is the same work a graduate department does at the level of admissions, enrollment, and progression, differing in scale rather than in kind.</w:t>
      </w:r>
    </w:p>
    <w:p>
      <w:pPr>
        <w:spacing w:after="200" w:before="0"/>
        <w:jc w:val="left"/>
      </w:pPr>
      <w:r>
        <w:rPr>
          <w:rFonts w:ascii="Garamond" w:cs="Garamond" w:eastAsia="Garamond" w:hAnsi="Garamond"/>
          <w:b w:val="false"/>
          <w:bCs w:val="false"/>
          <w:i w:val="false"/>
          <w:iCs w:val="false"/>
          <w:color w:val="444444"/>
          <w:sz w:val="21"/>
          <w:szCs w:val="21"/>
        </w:rPr>
        <w:t xml:space="preserve">The accreditation and reporting side draws on longer experience. At Mangu Publishers I rebuilt the organization's knowledge and records infrastructure, retiring more than thirty outdated materials and improving retrieval efficiency by fifty percent, which is precisely the problem a college faces when a self-study asks for evidence generated four years ago by someone who has since left. At Société Générale I delivered federally mandated regulatory reports six weeks ahead of schedule within a $1.5M budget, and scaled a team from six to fifty-five while managing hiring documentation, onboarding, and coverage planning. Deadlines set by an external body, evidence that has to survive review, and faculty and staff processes that have to be documented are all familiar terrain.</w:t>
      </w:r>
    </w:p>
    <w:p>
      <w:pPr>
        <w:spacing w:after="200" w:before="0"/>
        <w:jc w:val="left"/>
      </w:pPr>
      <w:r>
        <w:rPr>
          <w:rFonts w:ascii="Garamond" w:cs="Garamond" w:eastAsia="Garamond" w:hAnsi="Garamond"/>
          <w:b w:val="false"/>
          <w:bCs w:val="false"/>
          <w:i w:val="false"/>
          <w:iCs w:val="false"/>
          <w:color w:val="444444"/>
          <w:sz w:val="21"/>
          <w:szCs w:val="21"/>
        </w:rPr>
        <w:t xml:space="preserve">I would be glad to be considered for any associate-director or administrative role the College is building beneath this one, where the credential requirements match what I actually hold. Thank you for reading a candid letter, and for your consideration.</w:t>
      </w:r>
    </w:p>
    <w:p>
      <w:pPr>
        <w:spacing w:after="240" w:before="120"/>
        <w:jc w:val="left"/>
      </w:pPr>
      <w:r>
        <w:rPr>
          <w:rFonts w:ascii="Garamond" w:cs="Garamond" w:eastAsia="Garamond" w:hAnsi="Garamond"/>
          <w:b w:val="false"/>
          <w:bCs w:val="false"/>
          <w:i w:val="false"/>
          <w:iCs w:val="false"/>
          <w:color w:val="444444"/>
          <w:sz w:val="21"/>
          <w:szCs w:val="21"/>
        </w:rPr>
        <w:t xml:space="preserve">Sincerely,</w:t>
      </w:r>
    </w:p>
    <w:p>
      <w:pPr>
        <w:spacing w:after="60" w:before="0"/>
        <w:jc w:val="left"/>
      </w:pPr>
      <w:r>
        <w:rPr>
          <w:rFonts w:ascii="Garamond" w:cs="Garamond" w:eastAsia="Garamond" w:hAnsi="Garamond"/>
          <w:b/>
          <w:bCs/>
          <w:i w:val="false"/>
          <w:iCs w:val="false"/>
          <w:color w:val="1A1A1A"/>
          <w:sz w:val="22"/>
          <w:szCs w:val="22"/>
        </w:rPr>
        <w:t xml:space="preserve">Max Mihir Oza</w:t>
      </w:r>
    </w:p>
    <w:p>
      <w:pPr>
        <w:spacing w:after="20" w:before="0"/>
        <w:jc w:val="left"/>
      </w:pPr>
      <w:r>
        <w:rPr>
          <w:rFonts w:ascii="Garamond" w:cs="Garamond" w:eastAsia="Garamond" w:hAnsi="Garamond"/>
          <w:b w:val="false"/>
          <w:bCs w:val="false"/>
          <w:i w:val="false"/>
          <w:iCs w:val="false"/>
          <w:color w:val="888888"/>
          <w:sz w:val="19"/>
          <w:szCs w:val="19"/>
        </w:rPr>
        <w:t xml:space="preserve">180 Littleton Rd, Parsippany, NJ 07054</w:t>
      </w:r>
    </w:p>
    <w:p>
      <w:pPr>
        <w:spacing w:after="20" w:before="0"/>
        <w:jc w:val="left"/>
      </w:pPr>
      <w:r>
        <w:rPr>
          <w:rFonts w:ascii="Garamond" w:cs="Garamond" w:eastAsia="Garamond" w:hAnsi="Garamond"/>
          <w:b w:val="false"/>
          <w:bCs w:val="false"/>
          <w:i w:val="false"/>
          <w:iCs w:val="false"/>
          <w:color w:val="888888"/>
          <w:sz w:val="19"/>
          <w:szCs w:val="19"/>
        </w:rPr>
        <w:t xml:space="preserve">201 247 1371  ·  ozamihir@shu.edu</w:t>
      </w:r>
    </w:p>
    <w:sectPr>
      <w:pgSz w:h="16838" w:w="11906"/>
      <w:pgMar w:bottom="720" w:footer="720" w:gutter="0" w:header="720" w:left="900" w:right="900" w:top="720"/>
      <w:cols w:space="72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555555"/>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2026-08-14T04:45:25.921Z</dcterms:created>
  <dcterms:modified xsi:type="dcterms:W3CDTF">2026-08-14T04:45:25.921Z</dcterms:modified>
</cp:coreProperties>
</file>

<file path=docProps/custom.xml><?xml version="1.0" encoding="utf-8"?>
<Properties xmlns="http://schemas.openxmlformats.org/officeDocument/2006/custom-properties" xmlns:vt="http://schemas.openxmlformats.org/officeDocument/2006/docPropsVTypes"/>
</file>