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Search Committee</w:t>
      </w:r>
    </w:p>
    <w:p>
      <w:pPr>
        <w:spacing w:after="60" w:before="0"/>
        <w:jc w:val="left"/>
      </w:pPr>
      <w:r>
        <w:rPr>
          <w:rFonts w:ascii="Garamond" w:cs="Garamond" w:eastAsia="Garamond" w:hAnsi="Garamond"/>
          <w:b w:val="false"/>
          <w:bCs w:val="false"/>
          <w:i w:val="false"/>
          <w:iCs w:val="false"/>
          <w:color w:val="555555"/>
          <w:sz w:val="20"/>
          <w:szCs w:val="20"/>
        </w:rPr>
        <w:t xml:space="preserve">Simulation Operations Specialist Search</w:t>
      </w:r>
    </w:p>
    <w:p>
      <w:pPr>
        <w:spacing w:after="60" w:before="0"/>
        <w:jc w:val="left"/>
      </w:pPr>
      <w:r>
        <w:rPr>
          <w:rFonts w:ascii="Garamond" w:cs="Garamond" w:eastAsia="Garamond" w:hAnsi="Garamond"/>
          <w:b w:val="false"/>
          <w:bCs w:val="false"/>
          <w:i w:val="false"/>
          <w:iCs w:val="false"/>
          <w:color w:val="555555"/>
          <w:sz w:val="20"/>
          <w:szCs w:val="20"/>
        </w:rPr>
        <w:t xml:space="preserve">Interprofessional Health Sciences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Simulation Operations Specialist (Job No. 497327)</w:t>
      </w:r>
    </w:p>
    <w:p>
      <w:pPr>
        <w:spacing w:after="200" w:before="0"/>
        <w:jc w:val="left"/>
      </w:pPr>
      <w:r>
        <w:rPr>
          <w:rFonts w:ascii="Garamond" w:cs="Garamond" w:eastAsia="Garamond" w:hAnsi="Garamond"/>
          <w:b w:val="false"/>
          <w:bCs w:val="false"/>
          <w:i w:val="false"/>
          <w:iCs w:val="false"/>
          <w:color w:val="2C2C2C"/>
          <w:sz w:val="21"/>
          <w:szCs w:val="21"/>
        </w:rPr>
        <w:t xml:space="preserve">Dear Members of the Search Committee,</w:t>
      </w:r>
    </w:p>
    <w:p>
      <w:pPr>
        <w:spacing w:after="200" w:before="0"/>
        <w:jc w:val="left"/>
      </w:pPr>
      <w:r>
        <w:rPr>
          <w:rFonts w:ascii="Garamond" w:cs="Garamond" w:eastAsia="Garamond" w:hAnsi="Garamond"/>
          <w:b w:val="false"/>
          <w:bCs w:val="false"/>
          <w:i w:val="false"/>
          <w:iCs w:val="false"/>
          <w:color w:val="444444"/>
          <w:sz w:val="21"/>
          <w:szCs w:val="21"/>
        </w:rPr>
        <w:t xml:space="preserve">I am writing to apply for the Simulation Operations Specialist position on the Interprofessional Health Sciences campus. This fall I begin the Ph.D. in Higher Education Leadership, Management and Policy at Seton Hall, and I am looking for administrative work at the University itself rather than alongside it. Simulation operations interests me because it sits exactly where my research does: the technical and logistical infrastructure that determines whether a designed learning experience actually reaches students intact.</w:t>
      </w:r>
    </w:p>
    <w:p>
      <w:pPr>
        <w:spacing w:after="200" w:before="0"/>
        <w:jc w:val="left"/>
      </w:pPr>
      <w:r>
        <w:rPr>
          <w:rFonts w:ascii="Garamond" w:cs="Garamond" w:eastAsia="Garamond" w:hAnsi="Garamond"/>
          <w:b w:val="false"/>
          <w:bCs w:val="false"/>
          <w:i w:val="false"/>
          <w:iCs w:val="false"/>
          <w:color w:val="444444"/>
          <w:sz w:val="21"/>
          <w:szCs w:val="21"/>
        </w:rPr>
        <w:t xml:space="preserve">The largest share of this role is running the technology on which a teaching session depends, and doing it in real time with no room to reschedule. My closest equivalent is administering Canvas and Brightspace for two high-enrollment courses serving more than 200 students a semester at Eastern University — setting up sections, staging materials, keeping the environment ready before class rather than during it, and troubleshooting on the spot when something failed. Alongside that I supported assessment design and grading workflows with the course faculty, which is the same collaborative pattern this posting describes between the specialist and the faculty who write the scenarios.</w:t>
      </w:r>
    </w:p>
    <w:p>
      <w:pPr>
        <w:spacing w:after="200" w:before="0"/>
        <w:jc w:val="left"/>
      </w:pPr>
      <w:r>
        <w:rPr>
          <w:rFonts w:ascii="Garamond" w:cs="Garamond" w:eastAsia="Garamond" w:hAnsi="Garamond"/>
          <w:b w:val="false"/>
          <w:bCs w:val="false"/>
          <w:i w:val="false"/>
          <w:iCs w:val="false"/>
          <w:color w:val="444444"/>
          <w:sz w:val="21"/>
          <w:szCs w:val="21"/>
        </w:rPr>
        <w:t xml:space="preserve">The equipment, maintenance, and IT liaison portions draw on my project work. At Interpublic Group I coordinated enterprise implementations of Salesforce, Microsoft Dynamics 365, Maximo, and Active Directory for 600 users across subsidiary agencies; Maximo in particular is asset and maintenance management, which is the software expression of exactly what this role does physically with trainers, manikins, and consumables — scheduled maintenance, service history, and inventory that does not run out mid-semester. At HCL Americas I ran programs for Becton Dickinson and Bristol Myers Squibb, so regulated environments with strict documentation and audit expectations are familiar, as is handling records under confidentiality requirements. I also completed a Software Engineering Bootcamp at General Assembly in 2025, which keeps me useful on the hardware and software troubleshooting side rather than dependent on someone else for it.</w:t>
      </w:r>
    </w:p>
    <w:p>
      <w:pPr>
        <w:spacing w:after="200" w:before="0"/>
        <w:jc w:val="left"/>
      </w:pPr>
      <w:r>
        <w:rPr>
          <w:rFonts w:ascii="Garamond" w:cs="Garamond" w:eastAsia="Garamond" w:hAnsi="Garamond"/>
          <w:b w:val="false"/>
          <w:bCs w:val="false"/>
          <w:i w:val="false"/>
          <w:iCs w:val="false"/>
          <w:color w:val="444444"/>
          <w:sz w:val="21"/>
          <w:szCs w:val="21"/>
        </w:rPr>
        <w:t xml:space="preserve">I want to be direct about what I do not bring. I do not currently hold CPR certification and I have not worked in healthcare simulation — I have not programmed a manikin, run a coded scenario, or worked as a clinician. If the committee needs someone who can step into scenario programming in week one, I am not that candidate. What I would commit to is completing CPR certification before a start date and pursuing the Society for Simulation in Healthcare credential, and what I would bring in the meantime is someone who learns technical systems quickly, documents them so the next person is not starting from scratch, and keeps the equipment and inventory side reliable while the clinical fluency builds.</w:t>
      </w:r>
    </w:p>
    <w:p>
      <w:pPr>
        <w:spacing w:after="200" w:before="0"/>
        <w:jc w:val="left"/>
      </w:pPr>
      <w:r>
        <w:rPr>
          <w:rFonts w:ascii="Garamond" w:cs="Garamond" w:eastAsia="Garamond" w:hAnsi="Garamond"/>
          <w:b w:val="false"/>
          <w:bCs w:val="false"/>
          <w:i w:val="false"/>
          <w:iCs w:val="false"/>
          <w:color w:val="444444"/>
          <w:sz w:val="21"/>
          <w:szCs w:val="21"/>
        </w:rPr>
        <w:t xml:space="preserve">If that trade is one the committee is open to, I would welcome the chance to talk about the role and the current state of the simulation program. Thank you for your consideration.</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