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Learning Technology &amp; Equipment Operations  ·  Systems Support, Inventory and Compliance</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Operations and technology professional with 13+ years of experience running the systems, equipment, and records that instruction and service delivery depend on — installations and upgrades, troubleshooting, vendor and equipment procurement, inventory and asset tracking, and serving as the liaison between technical teams and the people who use the technology daily. Direct higher education experience administering learning platforms (Canvas / Brightspace) and preparing course environments for 200+ students per semester. Incoming Seton Hall doctoral student, currently completing an MBA with a 3.87 GPA.</w:t>
      </w:r>
    </w:p>
    <w:p>
      <w:pPr>
        <w:spacing w:after="60" w:before="100"/>
      </w:pPr>
      <w:r>
        <w:rPr>
          <w:rFonts w:ascii="Garamond" w:cs="Garamond" w:eastAsia="Garamond" w:hAnsi="Garamond"/>
          <w:b w:val="false"/>
          <w:bCs w:val="false"/>
          <w:i w:val="false"/>
          <w:iCs w:val="false"/>
          <w:color w:val="555555"/>
          <w:sz w:val="20"/>
          <w:szCs w:val="20"/>
        </w:rPr>
        <w:t xml:space="preserve">Comfortable in high-stakes, regulated environments: delivered programs for Becton Dickinson and Bristol Myers Squibb, handled student records under strict confidentiality, and built the SOPs, trackers, and maintenance documentation that keep equipment ready and records defensible under audit. Completed a Software Engineering Bootcamp at General Assembly in 2025, which grounds the hands-on hardware and software troubleshooting side of the work.</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integrating quantitative usage data with qualitative stakeholder analysis to improve support delivery for non-traditional students.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w:t>
      </w:r>
    </w:p>
    <w:p>
      <w:pPr>
        <w:spacing w:after="20" w:before="120"/>
      </w:pPr>
      <w:r>
        <w:rPr>
          <w:rFonts w:ascii="Garamond" w:cs="Garamond" w:eastAsia="Garamond" w:hAnsi="Garamond"/>
          <w:b w:val="false"/>
          <w:bCs w:val="false"/>
          <w:i w:val="false"/>
          <w:iCs w:val="false"/>
          <w:color w:val="888888"/>
          <w:sz w:val="19"/>
          <w:szCs w:val="19"/>
        </w:rPr>
        <w:t xml:space="preserve">Research interests: Learning technology adoption and instructional environments  ·  Data-informed decision-making and continuous improvement  ·  Academic operations and institutional effectiveness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Learning Technology &amp; Platform Administration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Systems Implementation, Upgrades &amp; Troubleshooting (Salesforce, MS Dynamics 365, SAP)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Equipment, Inventory &amp; Vendor Procurement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Technical Liaison &amp; Cross-Functional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Maintenance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Research Support &amp; Applied Study Design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Event, Open House &amp; Program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Enrollment Support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Budget Tracking &amp; Operational Reporting</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