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Associate Director for Corporate and Foundation Relations Search</w:t>
      </w:r>
    </w:p>
    <w:p>
      <w:pPr>
        <w:spacing w:after="60" w:before="0"/>
        <w:jc w:val="left"/>
      </w:pPr>
      <w:r>
        <w:rPr>
          <w:rFonts w:ascii="Garamond" w:cs="Garamond" w:eastAsia="Garamond" w:hAnsi="Garamond"/>
          <w:b w:val="false"/>
          <w:bCs w:val="false"/>
          <w:i w:val="false"/>
          <w:iCs w:val="false"/>
          <w:color w:val="555555"/>
          <w:sz w:val="20"/>
          <w:szCs w:val="20"/>
        </w:rPr>
        <w:t xml:space="preserve">Office of Corporate and Foundation Relations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Associate Director for Corporate and Foundation Relations (Job No. 497313)</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Associate Director for Corporate and Foundation Relations position. This fall I begin the Ph.D. in Higher Education Leadership, Management and Policy at Seton Hall, so I would be representing an institution I am also studying and belong to — which matters more in this role than in most, since the credibility of a corporate or foundation ask rests on how well the person making it actually understands the academic work being funded.</w:t>
      </w:r>
    </w:p>
    <w:p>
      <w:pPr>
        <w:spacing w:after="200" w:before="0"/>
        <w:jc w:val="left"/>
      </w:pPr>
      <w:r>
        <w:rPr>
          <w:rFonts w:ascii="Garamond" w:cs="Garamond" w:eastAsia="Garamond" w:hAnsi="Garamond"/>
          <w:b w:val="false"/>
          <w:bCs w:val="false"/>
          <w:i w:val="false"/>
          <w:iCs w:val="false"/>
          <w:color w:val="444444"/>
          <w:sz w:val="21"/>
          <w:szCs w:val="21"/>
        </w:rPr>
        <w:t xml:space="preserve">The heart of the posting is a portfolio carried independently: identifying the right funders, developing and submitting proposals against a deadline calendar, and stewarding what follows. The closest thing I have done is not development work, but it is the same operating discipline. At Société Générale I owned federally mandated regulatory reporting and delivered it six weeks ahead of schedule within a $1.5 million budget — externally scrutinized documents, fixed deadlines, no partial credit. At Mangu Publishers I ran intake and discovery sessions with more than fifty stakeholders to establish what each actually needed before anything was proposed, then delivered twelve enhancements across six cycles. Discovery before the ask, and disciplined follow-through after it, are the two halves I would carry into a funder portfolio.</w:t>
      </w:r>
    </w:p>
    <w:p>
      <w:pPr>
        <w:spacing w:after="200" w:before="0"/>
        <w:jc w:val="left"/>
      </w:pPr>
      <w:r>
        <w:rPr>
          <w:rFonts w:ascii="Garamond" w:cs="Garamond" w:eastAsia="Garamond" w:hAnsi="Garamond"/>
          <w:b w:val="false"/>
          <w:bCs w:val="false"/>
          <w:i w:val="false"/>
          <w:iCs w:val="false"/>
          <w:color w:val="444444"/>
          <w:sz w:val="21"/>
          <w:szCs w:val="21"/>
        </w:rPr>
        <w:t xml:space="preserve">The institutional-strategy portion of the role draws on different ground. At Millennium Systems International I chaired a $50 million annual budget committee, reviewing spend, vendor commitments, and funding priorities — which meant sitting between people with competing claims on limited money and producing a defensible allocation. At Interpublic Group I ran monthly executive briefings and status trackers for senior leadership across multiple subsidiary agencies, the internal-alignment work that a campus-wide corporate and foundation effort requires. And through my MBA research I have done sustained analytical writing: systematic literature reviews and data-informed policy recommendations that combine quantitative usage data with qualitative stakeholder analysis, which is the closest analog I have to translating faculty research into a proposal a program officer will fund.</w:t>
      </w:r>
    </w:p>
    <w:p>
      <w:pPr>
        <w:spacing w:after="200" w:before="0"/>
        <w:jc w:val="left"/>
      </w:pPr>
      <w:r>
        <w:rPr>
          <w:rFonts w:ascii="Garamond" w:cs="Garamond" w:eastAsia="Garamond" w:hAnsi="Garamond"/>
          <w:b w:val="false"/>
          <w:bCs w:val="false"/>
          <w:i w:val="false"/>
          <w:iCs w:val="false"/>
          <w:color w:val="444444"/>
          <w:sz w:val="21"/>
          <w:szCs w:val="21"/>
        </w:rPr>
        <w:t xml:space="preserve">The gap is straightforward and I will not dress it up: I have not held a development or corporate and foundation relations title, and I do not have a portfolio of funded grant proposals to show you. The posting names grant writing as a requirement, and if the committee needs someone who can arrive with a track record of awards, I am not that candidate. What I would offer instead is a writer and portfolio manager who has produced high-stakes external submissions on deadline for years, who is already inside the University's academic community, and who would expect to work closely with the Senior Director in the first year to learn the specific conventions of foundation proposal writing rather than assume they transfer automatically from regulatory and executive writing. I would be glad to bring writing samples to any interview.</w:t>
      </w:r>
    </w:p>
    <w:p>
      <w:pPr>
        <w:spacing w:after="200" w:before="0"/>
        <w:jc w:val="left"/>
      </w:pPr>
      <w:r>
        <w:rPr>
          <w:rFonts w:ascii="Garamond" w:cs="Garamond" w:eastAsia="Garamond" w:hAnsi="Garamond"/>
          <w:b w:val="false"/>
          <w:bCs w:val="false"/>
          <w:i w:val="false"/>
          <w:iCs w:val="false"/>
          <w:color w:val="444444"/>
          <w:sz w:val="21"/>
          <w:szCs w:val="21"/>
        </w:rPr>
        <w:t xml:space="preserve">If a candidate with deep proposal and portfolio discipline but no prior development title is worth a conversation, I would welcome it, and I appreciate the committee's time either way.</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