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Corporate &amp; Institutional Partnerships  ·  Proposal, Budget and Stewardship Operations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Relationship and program management professional with 13+ years of experience owning a portfolio of corporate and institutional partners — running intake and discovery conversations with 50+ stakeholders, managing vendor and funding commitments against a $50M annual budget, and preparing the deadline-bound written submissions and executive briefings those relationships depend on. Incoming Seton Hall doctoral student in Higher Education Leadership, Management and Policy, currently completing an MBA with a 3.87 GPA, with direct higher education experience inside academic departments.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Strong applied writing and research background: systematic literature reviews, data-informed policy recommendations combining quantitative usage data with qualitative stakeholder analysis, and formal reporting for federal regulators and senior executives alike. Builds the infrastructure that keeps a portfolio from leaking — deadline calendars, trackers, stewardship documentation, and SOPs that hold up under audit and staff turnover — while exercising discretion with confidential financial and constituent information.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and discovery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Facilitated monthly executive briefings and maintained status trackers for senior leadership; delivered platform migration projects 75% ahead of schedule.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Institutional effectiveness and resource strategy  ·  Data-informed decision-making and continuous improvement  ·  Non-traditional student persistence and service delivery equity  ·  Cross-sector partnerships in postsecondary education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Portfolio &amp; Stakeholder Relationship Management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Proposal, Report &amp; Executive Narrative Writing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Deadline Calendars, Submission Tracking &amp; Follow-Through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Budget Oversight, Funding Prioritization &amp; Vendor Commitments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Research, Literature Review &amp; Policy Recommendation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CRM / ERP Systems (Salesforce, MS Dynamics 365, SAP)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Cross-Campus &amp; Cross-Functional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Program &amp; Project Management (Agile, Scrum, Waterfall; PMP in progress)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Event, Open House &amp; Program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