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Assistant Director Grad Operations Search</w:t>
      </w:r>
    </w:p>
    <w:p>
      <w:pPr>
        <w:spacing w:after="60" w:before="0"/>
        <w:jc w:val="left"/>
      </w:pPr>
      <w:r>
        <w:rPr>
          <w:rFonts w:ascii="Garamond" w:cs="Garamond" w:eastAsia="Garamond" w:hAnsi="Garamond"/>
          <w:b w:val="false"/>
          <w:bCs w:val="false"/>
          <w:i w:val="false"/>
          <w:iCs w:val="false"/>
          <w:color w:val="555555"/>
          <w:sz w:val="20"/>
          <w:szCs w:val="20"/>
        </w:rPr>
        <w:t xml:space="preserve">Office of Graduate Affairs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Assistant Director Grad Operations (Job No. 497033)</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writing to apply for the Assistant Director, Grad Operations position in the Office of Graduate Affairs. This fall I begin the Ph.D. in Higher Education Leadership, Management and Policy at Seton Hall, which means I am about to be a member of the population this office serves. I applied, submitted transcripts, and waited on a decision recently enough to remember how it felt, and I would like to spend my working hours on the operational side of that same process.</w:t>
      </w:r>
    </w:p>
    <w:p>
      <w:pPr>
        <w:spacing w:after="200" w:before="0"/>
        <w:jc w:val="left"/>
      </w:pPr>
      <w:r>
        <w:rPr>
          <w:rFonts w:ascii="Garamond" w:cs="Garamond" w:eastAsia="Garamond" w:hAnsi="Garamond"/>
          <w:b w:val="false"/>
          <w:bCs w:val="false"/>
          <w:i w:val="false"/>
          <w:iCs w:val="false"/>
          <w:color w:val="444444"/>
          <w:sz w:val="21"/>
          <w:szCs w:val="21"/>
        </w:rPr>
        <w:t xml:space="preserve">The center of this role — building and maintaining workflows, forms, and portals, protecting data integrity across imports and exports, designing reports and dashboards that show where a class stands, and supporting the staff who depend on all of it — describes most of my career. At HCL Americas I designed submission and approval automation across 49 business lines, retiring manual intake entirely and producing $10M in documented annual savings. That was a sustained exercise in form logic, routing rules, exception handling, and the testing that keeps a workflow from failing quietly at the worst moment in a cycle. In the same role I established centralized KPI reporting dashboards for executive decision-making, which is the same problem as a dashboard tracking applications, admits, and deposits against goal, with different fields in it.</w:t>
      </w:r>
    </w:p>
    <w:p>
      <w:pPr>
        <w:spacing w:after="200" w:before="0"/>
        <w:jc w:val="left"/>
      </w:pPr>
      <w:r>
        <w:rPr>
          <w:rFonts w:ascii="Garamond" w:cs="Garamond" w:eastAsia="Garamond" w:hAnsi="Garamond"/>
          <w:b w:val="false"/>
          <w:bCs w:val="false"/>
          <w:i w:val="false"/>
          <w:iCs w:val="false"/>
          <w:color w:val="444444"/>
          <w:sz w:val="21"/>
          <w:szCs w:val="21"/>
        </w:rPr>
        <w:t xml:space="preserve">Two other roles bear directly on the rest of the posting. At Interpublic Group I coordinated enterprise system implementations — Salesforce, Microsoft Dynamics 365, Maximo, and Active Directory — for 600 users across multiple subsidiary agencies, delivered platform migrations 75% ahead of schedule, and briefed senior leadership monthly on status. Rolling out a platform to 600 people means most of the actual work is training and patient troubleshooting for staff at very different comfort levels, which this posting names outright. At Mangu Publishers I rebuilt the records and knowledge management infrastructure behind a system implementation, retiring 30-plus outdated materials and improving retrieval efficiency by 50% — the document half of this job, the scanning, linking, filing, and reconciling of paper against electronic records, is precisely the problem I was solving there.</w:t>
      </w:r>
    </w:p>
    <w:p>
      <w:pPr>
        <w:spacing w:after="200" w:before="0"/>
        <w:jc w:val="left"/>
      </w:pPr>
      <w:r>
        <w:rPr>
          <w:rFonts w:ascii="Garamond" w:cs="Garamond" w:eastAsia="Garamond" w:hAnsi="Garamond"/>
          <w:b w:val="false"/>
          <w:bCs w:val="false"/>
          <w:i w:val="false"/>
          <w:iCs w:val="false"/>
          <w:color w:val="444444"/>
          <w:sz w:val="21"/>
          <w:szCs w:val="21"/>
        </w:rPr>
        <w:t xml:space="preserve">The gap is specific and worth stating: I have not worked in Technolutions Slate, and the posting asks for moderate to advanced experience with it. I have not used Ellucian Banner either. What I would offer against that is a repeated record of becoming the person who administers an unfamiliar platform — Salesforce, Dynamics 365, Maximo, and SAP were each new to me before they were on my resume — plus a year inside a university handling academic records, enrollment monitoring, and student inquiries for more than 200 students a semester, so the higher education context and its confidentiality expectations are not something I would be meeting for the first time. I would work through Slate's own training materials before a start date and would expect to be genuinely useful in the system within a term.</w:t>
      </w:r>
    </w:p>
    <w:p>
      <w:pPr>
        <w:spacing w:after="200" w:before="0"/>
        <w:jc w:val="left"/>
      </w:pPr>
      <w:r>
        <w:rPr>
          <w:rFonts w:ascii="Garamond" w:cs="Garamond" w:eastAsia="Garamond" w:hAnsi="Garamond"/>
          <w:b w:val="false"/>
          <w:bCs w:val="false"/>
          <w:i w:val="false"/>
          <w:iCs w:val="false"/>
          <w:color w:val="444444"/>
          <w:sz w:val="21"/>
          <w:szCs w:val="21"/>
        </w:rPr>
        <w:t xml:space="preserve">The last thing I would bring is a service standard the posting is right to insist on. Prospective graduate students are making an expensive decision on incomplete information, and the speed and clarity of what this office tells them is part of what they are judging. Having sat in the first-contact seat for student questions, I take “unqualified and exemplary” as a literal instruction rather than a phrase. Thank you for your consideration.</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