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MAX MIHIR OZA</w:t>
      </w:r>
    </w:p>
    <w:p>
      <w:pPr>
        <w:spacing w:after="280"/>
        <w:jc w:val="center"/>
      </w:pPr>
      <w:r>
        <w:rPr>
          <w:rFonts w:ascii="Calibri" w:cs="Calibri" w:eastAsia="Calibri" w:hAnsi="Calibri"/>
          <w:sz w:val="20"/>
          <w:szCs w:val="20"/>
        </w:rPr>
        <w:t xml:space="preserve">Parsippany, NJ  ·  201 247 1371  ·  ozamihir@shu.edu  ·  linkedin.com/in/mihir-oza</w:t>
      </w:r>
    </w:p>
    <w:p>
      <w:pPr>
        <w:spacing w:after="120" w:line="276"/>
      </w:pPr>
      <w:r>
        <w:rPr>
          <w:rFonts w:ascii="Calibri" w:cs="Calibri" w:eastAsia="Calibri" w:hAnsi="Calibri"/>
          <w:sz w:val="22"/>
          <w:szCs w:val="22"/>
        </w:rPr>
        <w:t xml:space="preserve">August 25, 2026</w:t>
      </w:r>
    </w:p>
    <w:p>
      <w:pPr>
        <w:spacing w:after="0" w:line="276"/>
      </w:pPr>
      <w:r>
        <w:rPr>
          <w:rFonts w:ascii="Calibri" w:cs="Calibri" w:eastAsia="Calibri" w:hAnsi="Calibri"/>
          <w:sz w:val="22"/>
          <w:szCs w:val="22"/>
        </w:rPr>
        <w:t xml:space="preserve">School of Nursing</w:t>
      </w:r>
    </w:p>
    <w:p>
      <w:pPr>
        <w:spacing w:after="0" w:line="276"/>
      </w:pPr>
      <w:r>
        <w:rPr>
          <w:rFonts w:ascii="Calibri" w:cs="Calibri" w:eastAsia="Calibri" w:hAnsi="Calibri"/>
          <w:sz w:val="22"/>
          <w:szCs w:val="22"/>
        </w:rPr>
        <w:t xml:space="preserve">Felician University</w:t>
      </w:r>
    </w:p>
    <w:p>
      <w:pPr>
        <w:spacing w:after="120" w:line="276"/>
      </w:pPr>
      <w:r>
        <w:rPr>
          <w:rFonts w:ascii="Calibri" w:cs="Calibri" w:eastAsia="Calibri" w:hAnsi="Calibri"/>
          <w:sz w:val="22"/>
          <w:szCs w:val="22"/>
        </w:rPr>
        <w:t xml:space="preserve">Lodi/Rutherford, NJ</w:t>
      </w:r>
    </w:p>
    <w:p>
      <w:pPr>
        <w:spacing w:after="120" w:line="276"/>
      </w:pPr>
      <w:r>
        <w:rPr>
          <w:rFonts w:ascii="Calibri" w:cs="Calibri" w:eastAsia="Calibri" w:hAnsi="Calibri"/>
          <w:b/>
          <w:bCs/>
          <w:sz w:val="22"/>
          <w:szCs w:val="22"/>
        </w:rPr>
        <w:t xml:space="preserve">Re: Academic Success Coach, School of Nursing</w:t>
      </w:r>
    </w:p>
    <w:p>
      <w:pPr>
        <w:spacing w:after="120" w:line="276"/>
      </w:pPr>
      <w:r>
        <w:rPr>
          <w:rFonts w:ascii="Calibri" w:cs="Calibri" w:eastAsia="Calibri" w:hAnsi="Calibri"/>
          <w:sz w:val="22"/>
          <w:szCs w:val="22"/>
        </w:rPr>
        <w:t xml:space="preserve">Dear Hiring Committee,</w:t>
      </w:r>
    </w:p>
    <w:p>
      <w:pPr>
        <w:spacing w:after="120" w:line="276"/>
      </w:pPr>
      <w:r>
        <w:rPr>
          <w:rFonts w:ascii="Calibri" w:cs="Calibri" w:eastAsia="Calibri" w:hAnsi="Calibri"/>
          <w:sz w:val="22"/>
          <w:szCs w:val="22"/>
        </w:rPr>
        <w:t xml:space="preserve">I write to express my interest in the Academic Success Coach position within Felician University's School of Nursing. As a Graduate Assistant who has worked directly with students navigating demanding academic programs, and as an incoming doctoral student in Higher Education Leadership, Management and Policy at Seton Hall University (fall 2026), I am drawn to the coaching and student-facing dimension of this role — and to Felician's distinctive commitment to forming students as whole persons, not merely credentialed professionals.</w:t>
      </w:r>
    </w:p>
    <w:p>
      <w:pPr>
        <w:spacing w:after="120" w:line="276"/>
      </w:pPr>
      <w:r>
        <w:rPr>
          <w:rFonts w:ascii="Calibri" w:cs="Calibri" w:eastAsia="Calibri" w:hAnsi="Calibri"/>
          <w:sz w:val="22"/>
          <w:szCs w:val="22"/>
        </w:rPr>
        <w:t xml:space="preserve">My work as Graduate Assistant at Eastern University closely mirrors the responsibilities of an Academic Success Coach. Across two high-enrollment courses (200+ students per semester), I monitored academic performance, identified at-risk students through trend analysis, produced formal progress reports informing instructional interventions, and provided direct guidance to students struggling with pacing and course requirements. I developed deep skill in distinguishing students who needed encouragement from those who needed referral to counseling or advising services — a judgment that Academic Success Coaches exercise continuously. I also supported assessment design, grading workflows, and grade-change documentation in collaboration with faculty, making me familiar with the full arc of the student academic experience.</w:t>
      </w:r>
    </w:p>
    <w:p>
      <w:pPr>
        <w:spacing w:after="120" w:line="276"/>
      </w:pPr>
      <w:r>
        <w:rPr>
          <w:rFonts w:ascii="Calibri" w:cs="Calibri" w:eastAsia="Calibri" w:hAnsi="Calibri"/>
          <w:sz w:val="22"/>
          <w:szCs w:val="22"/>
        </w:rPr>
        <w:t xml:space="preserve">My 13+ years in high-stakes operational roles have reinforced the coaching fundamentals that make this work effective: active listening developed through stakeholder intake sessions with 50+ clients, structured documentation built across Interpublic and Millennium Systems, and data interpretation sharpened through executive-level reporting at HCL Americas and Société Générale. These are not incidental skills — they are the foundation of any disciplined academic coaching relationship.</w:t>
      </w:r>
    </w:p>
    <w:p>
      <w:pPr>
        <w:spacing w:after="120" w:line="276"/>
      </w:pPr>
      <w:r>
        <w:rPr>
          <w:rFonts w:ascii="Calibri" w:cs="Calibri" w:eastAsia="Calibri" w:hAnsi="Calibri"/>
          <w:sz w:val="22"/>
          <w:szCs w:val="22"/>
        </w:rPr>
        <w:t xml:space="preserve">My developing research interests focus on non-traditional student persistence, student success frameworks, and data-informed service delivery in postsecondary education. Supporting nursing students — who frequently navigate clinical rotations, rigorous academic demands, and personal responsibilities simultaneously — sits at the heart of that commitment. I would be honored to contribute to the academic persistence and licensure success of Felician nursing students.</w:t>
      </w:r>
    </w:p>
    <w:p>
      <w:pPr>
        <w:spacing w:after="120" w:line="276"/>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80" w:line="276"/>
      </w:pPr>
      <w:r>
        <w:rPr>
          <w:rFonts w:ascii="Calibri" w:cs="Calibri" w:eastAsia="Calibri" w:hAnsi="Calibri"/>
          <w:sz w:val="22"/>
          <w:szCs w:val="22"/>
        </w:rPr>
        <w:t xml:space="preserve">Sincerely,</w:t>
      </w:r>
    </w:p>
    <w:p>
      <w:pPr>
        <w:spacing w:after="0" w:line="276"/>
      </w:pPr>
      <w:r>
        <w:rPr>
          <w:rFonts w:ascii="Calibri" w:cs="Calibri" w:eastAsia="Calibri" w:hAnsi="Calibri"/>
          <w:b/>
          <w:bCs/>
          <w:sz w:val="22"/>
          <w:szCs w:val="22"/>
        </w:rPr>
        <w:t xml:space="preserve">Max Mihir Oza</w:t>
      </w:r>
    </w:p>
    <w:p>
      <w:pPr>
        <w:spacing w:after="0" w:line="276"/>
      </w:pPr>
      <w:r>
        <w:rPr>
          <w:rFonts w:ascii="Calibri" w:cs="Calibri" w:eastAsia="Calibri" w:hAnsi="Calibri"/>
          <w:sz w:val="22"/>
          <w:szCs w:val="22"/>
        </w:rPr>
        <w:t xml:space="preserve">180 Littleton Rd, Parsippany, NJ 07054</w:t>
      </w:r>
    </w:p>
    <w:p>
      <w:pPr>
        <w:spacing w:after="0" w:line="276"/>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2026-08-25T16:58:20.404Z</dcterms:created>
  <dcterms:modified xsi:type="dcterms:W3CDTF">2026-08-25T16:58:20.404Z</dcterms:modified>
</cp:coreProperties>
</file>