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MAX MIHIR OZA</w:t>
      </w:r>
    </w:p>
    <w:p>
      <w:pPr>
        <w:jc w:val="center"/>
      </w:pPr>
      <w:r>
        <w:rPr>
          <w:rFonts w:ascii="Calibri" w:cs="Calibri" w:eastAsia="Calibri" w:hAnsi="Calibri"/>
          <w:b w:val="false"/>
          <w:bCs w:val="false"/>
          <w:sz w:val="20"/>
          <w:szCs w:val="20"/>
        </w:rPr>
        <w:t xml:space="preserve">Parsippany, NJ  ·  201 247 1371  ·  ozamihir@shu.edu  ·  linkedin.com/in/mihir-oza</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August 25, 2026</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Undergraduate Admissions  ·  Caldwell University</w:t>
      </w:r>
    </w:p>
    <w:p>
      <w:r>
        <w:rPr>
          <w:rFonts w:ascii="Calibri" w:cs="Calibri" w:eastAsia="Calibri" w:hAnsi="Calibri"/>
          <w:b w:val="false"/>
          <w:bCs w:val="false"/>
          <w:sz w:val="22"/>
          <w:szCs w:val="22"/>
        </w:rPr>
        <w:t xml:space="preserve">Caldwell, NJ 07006</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Re: Admissions Counselor, Undergraduate Admissions (Req. 2409)</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Dear Hiring Committee,</w:t>
      </w:r>
    </w:p>
    <w:p>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I am writing to express genuine interest in the Admissions Counselor position (Req. 2409) at Caldwell University. My name is Max Mihir Oza, and I am an incoming doctoral student in Higher Education Leadership, Management and Policy at Seton Hall University — just 20 miles from Caldwell’s campus. I am committed to building a career in higher education that begins with direct, mission-critical work: helping prospective students find a campus where they will thrive, and supporting the enrollment goals of an institution that genuinely serves its community.</w:t>
      </w:r>
    </w:p>
    <w:p>
      <w:pPr>
        <w:spacing w:after="120" w:line="276"/>
      </w:pPr>
      <w:r>
        <w:rPr>
          <w:rFonts w:ascii="Calibri" w:cs="Calibri" w:eastAsia="Calibri" w:hAnsi="Calibri"/>
          <w:sz w:val="22"/>
          <w:szCs w:val="22"/>
        </w:rPr>
        <w:t xml:space="preserve">In my Graduate Assistant role at Eastern University, I worked closely with students across all stages of their academic experience — from enrollment through ongoing support — developing a nuanced understanding of what students and families need to make confident decisions about their education. I served as first point of contact for student inquiries, triaged and resolved concerns, built referral relationships with advising and support offices, and maintained tracking documentation across hundreds of individual student interactions. The Admissions Counselor role’s emphasis on proactive student engagement, follow-through on every outreach touchpoint, and relationship management with prospective students and school counselors maps directly to this experience.</w:t>
      </w:r>
    </w:p>
    <w:p>
      <w:pPr>
        <w:spacing w:after="120" w:line="276"/>
      </w:pPr>
      <w:r>
        <w:rPr>
          <w:rFonts w:ascii="Calibri" w:cs="Calibri" w:eastAsia="Calibri" w:hAnsi="Calibri"/>
          <w:sz w:val="22"/>
          <w:szCs w:val="22"/>
        </w:rPr>
        <w:t xml:space="preserve">My 13+ years of client-facing operational experience provide the CRM discipline, presentation skills, and territory management fluency that enrollment work demands. At Société Générale, I managed relationships with 50+ stakeholders simultaneously, coordinating intake, tracking pipeline status, and ensuring every commitment was followed through to completion. At Mangu Publishers, I led intake sessions and delivered structured presentations to diverse audiences. At Interpublic Group, I managed complex, multi-party projects using CRM and project tracking platforms, developing the data entry discipline and reporting fluency that Slate and similar enrollment CRM tools require. I am prepared for the territory management, high school visits, college fairs, and evening and weekend commitments that an Admissions Counselor role involves, and I hold a valid driver’s license.</w:t>
      </w:r>
    </w:p>
    <w:p>
      <w:pPr>
        <w:spacing w:after="120" w:line="276"/>
      </w:pPr>
      <w:r>
        <w:rPr>
          <w:rFonts w:ascii="Calibri" w:cs="Calibri" w:eastAsia="Calibri" w:hAnsi="Calibri"/>
          <w:sz w:val="22"/>
          <w:szCs w:val="22"/>
        </w:rPr>
        <w:t xml:space="preserve">Caldwell’s mission-centered culture and its commitment to access and student success are exactly the environment I am seeking as I build my career in higher education. My doctoral research on student persistence and service delivery equity directly informs how I would approach prospective student recruitment and engagement.</w:t>
      </w:r>
    </w:p>
    <w:p>
      <w:pPr>
        <w:spacing w:after="120" w:line="276"/>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Sincerely,</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Max Mihir Oza</w:t>
      </w:r>
    </w:p>
    <w:p>
      <w:r>
        <w:rPr>
          <w:rFonts w:ascii="Calibri" w:cs="Calibri" w:eastAsia="Calibri" w:hAnsi="Calibri"/>
          <w:b w:val="false"/>
          <w:bCs w:val="false"/>
          <w:sz w:val="22"/>
          <w:szCs w:val="22"/>
        </w:rPr>
        <w:t xml:space="preserve">180 Littleton Rd, Parsippany, NJ 07054</w:t>
      </w:r>
    </w:p>
    <w:p>
      <w:r>
        <w:rPr>
          <w:rFonts w:ascii="Calibri" w:cs="Calibri" w:eastAsia="Calibri" w:hAnsi="Calibri"/>
          <w:b w:val="false"/>
          <w:bCs w:val="false"/>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2026-08-25T13:02:14.848Z</dcterms:created>
  <dcterms:modified xsi:type="dcterms:W3CDTF">2026-08-25T13:02:14.848Z</dcterms:modified>
</cp:coreProperties>
</file>

<file path=docProps/custom.xml><?xml version="1.0" encoding="utf-8"?>
<Properties xmlns="http://schemas.openxmlformats.org/officeDocument/2006/custom-properties" xmlns:vt="http://schemas.openxmlformats.org/officeDocument/2006/docPropsVTypes"/>
</file>