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MAX MIHIR OZA</w:t>
      </w:r>
    </w:p>
    <w:p>
      <w:pPr>
        <w:spacing w:after="300"/>
        <w:jc w:val="center"/>
      </w:pPr>
      <w:r>
        <w:rPr>
          <w:rFonts w:ascii="Calibri" w:cs="Calibri" w:eastAsia="Calibri" w:hAnsi="Calibri"/>
          <w:sz w:val="20"/>
          <w:szCs w:val="20"/>
        </w:rPr>
        <w:t xml:space="preserve">Parsippany, NJ  ·  201 247 1371  ·  ozamihir@shu.edu  ·  linkedin.com/in/mihir-oza</w:t>
      </w:r>
    </w:p>
    <w:p>
      <w:pPr>
        <w:spacing w:after="160"/>
      </w:pPr>
      <w:r>
        <w:rPr>
          <w:rFonts w:ascii="Calibri" w:cs="Calibri" w:eastAsia="Calibri" w:hAnsi="Calibri"/>
          <w:sz w:val="22"/>
          <w:szCs w:val="22"/>
        </w:rPr>
        <w:t xml:space="preserve">August 25, 2026</w:t>
      </w:r>
    </w:p>
    <w:p>
      <w:pPr>
        <w:spacing w:after="60"/>
      </w:pPr>
      <w:r>
        <w:rPr>
          <w:rFonts w:ascii="Calibri" w:cs="Calibri" w:eastAsia="Calibri" w:hAnsi="Calibri"/>
          <w:sz w:val="22"/>
          <w:szCs w:val="22"/>
        </w:rPr>
        <w:t xml:space="preserve">College of Health Professions and Human Services  ·  Kean University</w:t>
      </w:r>
    </w:p>
    <w:p>
      <w:pPr>
        <w:spacing w:after="220"/>
      </w:pPr>
      <w:r>
        <w:rPr>
          <w:rFonts w:ascii="Calibri" w:cs="Calibri" w:eastAsia="Calibri" w:hAnsi="Calibri"/>
          <w:sz w:val="22"/>
          <w:szCs w:val="22"/>
        </w:rPr>
        <w:t xml:space="preserve">Union, NJ</w:t>
      </w:r>
    </w:p>
    <w:p>
      <w:pPr>
        <w:spacing w:after="220"/>
      </w:pPr>
      <w:r>
        <w:rPr>
          <w:rFonts w:ascii="Calibri" w:cs="Calibri" w:eastAsia="Calibri" w:hAnsi="Calibri"/>
          <w:sz w:val="22"/>
          <w:szCs w:val="22"/>
        </w:rPr>
        <w:t xml:space="preserve">Re: Dean, College of Health Professions and Human Services</w:t>
      </w:r>
    </w:p>
    <w:p>
      <w:pPr>
        <w:spacing w:after="160"/>
      </w:pPr>
      <w:r>
        <w:rPr>
          <w:rFonts w:ascii="Calibri" w:cs="Calibri" w:eastAsia="Calibri" w:hAnsi="Calibri"/>
          <w:sz w:val="22"/>
          <w:szCs w:val="22"/>
        </w:rPr>
        <w:t xml:space="preserve">Dear Hiring Committee,</w:t>
      </w:r>
    </w:p>
    <w:p>
      <w:pPr>
        <w:spacing w:after="160"/>
      </w:pPr>
      <w:r>
        <w:rPr>
          <w:rFonts w:ascii="Calibri" w:cs="Calibri" w:eastAsia="Calibri" w:hAnsi="Calibri"/>
          <w:sz w:val="22"/>
          <w:szCs w:val="22"/>
        </w:rPr>
        <w:t xml:space="preserve">I write with serious interest in the Dean of the College of Health Professions and Human Services at Kean University. I am Max Mihir Oza, an incoming doctoral candidate in Higher Education Leadership, Management and Policy at Seton Hall University beginning fall 2026. Kean's commitment to access, workforce preparation, and student success — and its sustained growth as a leading public university serving Union County and the Jersey City corridor — make this an appointment I approach with both humility and conviction.</w:t>
      </w:r>
    </w:p>
    <w:p>
      <w:pPr>
        <w:spacing w:after="160"/>
      </w:pPr>
      <w:r>
        <w:rPr>
          <w:rFonts w:ascii="Calibri" w:cs="Calibri" w:eastAsia="Calibri" w:hAnsi="Calibri"/>
          <w:sz w:val="22"/>
          <w:szCs w:val="22"/>
        </w:rPr>
        <w:t xml:space="preserve">The Dean role asks for the chief academic leader and administrative officer of a College — someone who provides strategic vision, manages budgets and accreditation, builds external partnerships, leads faculty, and drives student success. My preparation for that scope comes from two directions. As a Graduate Assistant at Eastern University, I worked within the full course lifecycle for high-enrollment courses — LMS administration, enrollment monitoring, student inquiry triage, and at-risk intervention — and I understand how academic program quality depends on the operational, reporting, and documentation infrastructure surrounding it. My doctoral studies at Seton Hall are focused precisely on institutional effectiveness, strategic planning, and the evidence-based leadership frameworks that guide strong academic units.</w:t>
      </w:r>
    </w:p>
    <w:p>
      <w:pPr>
        <w:spacing w:after="160"/>
      </w:pPr>
      <w:r>
        <w:rPr>
          <w:rFonts w:ascii="Calibri" w:cs="Calibri" w:eastAsia="Calibri" w:hAnsi="Calibri"/>
          <w:sz w:val="22"/>
          <w:szCs w:val="22"/>
        </w:rPr>
        <w:t xml:space="preserve">My 13+ years of executive-level operational leadership give me a second, equally important preparation. I chaired a $50 million annual budget committee at Millennium Systems International. I led enterprise system implementations for 600 users across multiple organizations at Interpublic Group. I scaled a team from 6 to 55 at Société Générale, building the organizational infrastructure — hiring, onboarding, performance management, coverage planning — that sustained rapid growth. At HCL Americas, embedded within Becton Dickinson and Bristol Myers Squibb, I managed regulatory-compliant program infrastructure generating $10 million in documented annual savings. These experiences have shaped my understanding of what it takes to lead a complex organization where excellence is measured by both financial discipline and human outcomes.</w:t>
      </w:r>
    </w:p>
    <w:p>
      <w:pPr>
        <w:spacing w:after="160"/>
      </w:pPr>
      <w:r>
        <w:rPr>
          <w:rFonts w:ascii="Calibri" w:cs="Calibri" w:eastAsia="Calibri" w:hAnsi="Calibri"/>
          <w:sz w:val="22"/>
          <w:szCs w:val="22"/>
        </w:rPr>
        <w:t xml:space="preserve">Kean's location within an hour of Parsippany, its dual Union–Jersey City campus model, and the College's strong alignment with regional healthcare and human services workforce needs make this a compelling fit with my geographic roots and my scholarly commitment to equitable student success. I would welcome the opportunity to discuss how my operational depth and emerging academic leadership perspective might serve this important role.</w:t>
      </w:r>
    </w:p>
    <w:p>
      <w:pPr>
        <w:spacing w:after="300"/>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360"/>
      </w:pPr>
      <w:r>
        <w:rPr>
          <w:rFonts w:ascii="Calibri" w:cs="Calibri" w:eastAsia="Calibri" w:hAnsi="Calibri"/>
          <w:sz w:val="22"/>
          <w:szCs w:val="22"/>
        </w:rPr>
        <w:t xml:space="preserve">Sincerely,</w:t>
      </w:r>
    </w:p>
    <w:p>
      <w:pPr>
        <w:spacing w:after="60"/>
      </w:pPr>
      <w:r>
        <w:rPr>
          <w:rFonts w:ascii="Calibri" w:cs="Calibri" w:eastAsia="Calibri" w:hAnsi="Calibri"/>
          <w:sz w:val="22"/>
          <w:szCs w:val="22"/>
        </w:rPr>
        <w:t xml:space="preserve">Max Mihir Oza</w:t>
      </w:r>
    </w:p>
    <w:p>
      <w:pPr>
        <w:spacing w:after="60"/>
      </w:pPr>
      <w:r>
        <w:rPr>
          <w:rFonts w:ascii="Calibri" w:cs="Calibri" w:eastAsia="Calibri" w:hAnsi="Calibri"/>
          <w:sz w:val="22"/>
          <w:szCs w:val="22"/>
        </w:rPr>
        <w:t xml:space="preserve">180 Littleton Rd, Parsippany, NJ 07054</w:t>
      </w:r>
    </w:p>
    <w:p>
      <w:pPr>
        <w:spacing w:after="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2026-08-25T19:07:35.962Z</dcterms:created>
  <dcterms:modified xsi:type="dcterms:W3CDTF">2026-08-25T19:07:35.962Z</dcterms:modified>
</cp:coreProperties>
</file>

<file path=docProps/custom.xml><?xml version="1.0" encoding="utf-8"?>
<Properties xmlns="http://schemas.openxmlformats.org/officeDocument/2006/custom-properties" xmlns:vt="http://schemas.openxmlformats.org/officeDocument/2006/docPropsVTypes"/>
</file>