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MAX MIHIR OZA</w:t>
      </w:r>
    </w:p>
    <w:p>
      <w:pPr>
        <w:spacing w:after="300"/>
        <w:jc w:val="center"/>
      </w:pPr>
      <w:r>
        <w:rPr>
          <w:rFonts w:ascii="Calibri" w:cs="Calibri" w:eastAsia="Calibri" w:hAnsi="Calibri"/>
          <w:sz w:val="20"/>
          <w:szCs w:val="20"/>
        </w:rPr>
        <w:t xml:space="preserve">Parsippany, NJ  ·  201 247 1371  ·  ozamihir@shu.edu  ·  linkedin.com/in/mihir-oza</w:t>
      </w:r>
    </w:p>
    <w:p>
      <w:pPr>
        <w:spacing w:after="160"/>
      </w:pPr>
      <w:r>
        <w:rPr>
          <w:rFonts w:ascii="Calibri" w:cs="Calibri" w:eastAsia="Calibri" w:hAnsi="Calibri"/>
          <w:sz w:val="22"/>
          <w:szCs w:val="22"/>
        </w:rPr>
        <w:t xml:space="preserve">August 25, 2026</w:t>
      </w:r>
    </w:p>
    <w:p>
      <w:pPr>
        <w:spacing w:after="60"/>
      </w:pPr>
      <w:r>
        <w:rPr>
          <w:rFonts w:ascii="Calibri" w:cs="Calibri" w:eastAsia="Calibri" w:hAnsi="Calibri"/>
          <w:sz w:val="22"/>
          <w:szCs w:val="22"/>
        </w:rPr>
        <w:t xml:space="preserve">School of Nursing and Health Professions  ·  Hudson County Community College</w:t>
      </w:r>
    </w:p>
    <w:p>
      <w:pPr>
        <w:spacing w:after="220"/>
      </w:pPr>
      <w:r>
        <w:rPr>
          <w:rFonts w:ascii="Calibri" w:cs="Calibri" w:eastAsia="Calibri" w:hAnsi="Calibri"/>
          <w:sz w:val="22"/>
          <w:szCs w:val="22"/>
        </w:rPr>
        <w:t xml:space="preserve">Jersey City, NJ</w:t>
      </w:r>
    </w:p>
    <w:p>
      <w:pPr>
        <w:spacing w:after="220"/>
      </w:pPr>
      <w:r>
        <w:rPr>
          <w:rFonts w:ascii="Calibri" w:cs="Calibri" w:eastAsia="Calibri" w:hAnsi="Calibri"/>
          <w:sz w:val="22"/>
          <w:szCs w:val="22"/>
        </w:rPr>
        <w:t xml:space="preserve">Re: Executive Director, RN Programs</w:t>
      </w:r>
    </w:p>
    <w:p>
      <w:pPr>
        <w:spacing w:after="160"/>
      </w:pPr>
      <w:r>
        <w:rPr>
          <w:rFonts w:ascii="Calibri" w:cs="Calibri" w:eastAsia="Calibri" w:hAnsi="Calibri"/>
          <w:sz w:val="22"/>
          <w:szCs w:val="22"/>
        </w:rPr>
        <w:t xml:space="preserve">Dear Hiring Committee,</w:t>
      </w:r>
    </w:p>
    <w:p>
      <w:pPr>
        <w:spacing w:after="160"/>
      </w:pPr>
      <w:r>
        <w:rPr>
          <w:rFonts w:ascii="Calibri" w:cs="Calibri" w:eastAsia="Calibri" w:hAnsi="Calibri"/>
          <w:sz w:val="22"/>
          <w:szCs w:val="22"/>
        </w:rPr>
        <w:t xml:space="preserve">I write with genuine interest in the Executive Director, RN Programs position at Hudson County Community College. I am Max Mihir Oza, an incoming doctoral student in Higher Education Leadership, Management and Policy at Seton Hall University beginning fall 2026, and I am drawn to Hudson County's longstanding commitment to accessible nursing education as a pathway to economic mobility for the diverse communities of Jersey City and the broader Hudson County region.</w:t>
      </w:r>
    </w:p>
    <w:p>
      <w:pPr>
        <w:spacing w:after="160"/>
      </w:pPr>
      <w:r>
        <w:rPr>
          <w:rFonts w:ascii="Calibri" w:cs="Calibri" w:eastAsia="Calibri" w:hAnsi="Calibri"/>
          <w:sz w:val="22"/>
          <w:szCs w:val="22"/>
        </w:rPr>
        <w:t xml:space="preserve">The Executive Director role demands someone who can provide academic and administrative leadership across curriculum design, course scheduling, faculty supervision, articulation agreements, accreditation compliance, clinical site development, and budget management — a scope that maps directly onto the operational and program leadership I have built over 13+ years. My time as a Graduate Assistant at Eastern University gave me substantive exposure to the course lifecycle infrastructure that nursing programs depend on: LMS administration, enrollment monitoring, records maintenance, and student inquiry triage for 200+ students per semester. I understand how accreditation bodies expect program documentation to be structured and how institutional reporting connects to program improvement cycles.</w:t>
      </w:r>
    </w:p>
    <w:p>
      <w:pPr>
        <w:spacing w:after="160"/>
      </w:pPr>
      <w:r>
        <w:rPr>
          <w:rFonts w:ascii="Calibri" w:cs="Calibri" w:eastAsia="Calibri" w:hAnsi="Calibri"/>
          <w:sz w:val="22"/>
          <w:szCs w:val="22"/>
        </w:rPr>
        <w:t xml:space="preserve">My industry career provides complementary depth in the healthcare sector specifically. At HCL Americas, I directed regulatory-compliant program operations embedded within Becton Dickinson and Bristol Myers Squibb — environments that operate under documentation and compliance standards analogous to nursing accreditation. I designed submission and approval workflows across 49 business lines, generating $10 million in documented annual savings. At Millennium Systems International I chaired a $50 million budget committee; at Société Générale I managed hiring, onboarding, and coverage planning for a team I scaled from 6 to 55. These are the budget and personnel leadership capabilities the Executive Director role requires.</w:t>
      </w:r>
    </w:p>
    <w:p>
      <w:pPr>
        <w:spacing w:after="160"/>
      </w:pPr>
      <w:r>
        <w:rPr>
          <w:rFonts w:ascii="Calibri" w:cs="Calibri" w:eastAsia="Calibri" w:hAnsi="Calibri"/>
          <w:sz w:val="22"/>
          <w:szCs w:val="22"/>
        </w:rPr>
        <w:t xml:space="preserve">Hudson County Community College's location at the heart of one of New Jersey's most medically underserved regions, and its commitment to diversifying the healthcare workforce, resonate with my doctoral focus on equity-centered institutional practice and data-informed student success. I see this role as an opportunity to serve both a program and a community.</w:t>
      </w:r>
    </w:p>
    <w:p>
      <w:pPr>
        <w:spacing w:after="300"/>
      </w:pPr>
      <w:r>
        <w:rPr>
          <w:rFonts w:ascii="Calibri" w:cs="Calibri" w:eastAsia="Calibri" w:hAnsi="Calibri"/>
          <w:sz w:val="22"/>
          <w:szCs w:val="22"/>
        </w:rPr>
        <w:t xml:space="preserve">I have attached my resume and cover letter for your review. Thank you sincerely for your time — I would welcome the opportunity to speak at your convenience.</w:t>
      </w:r>
    </w:p>
    <w:p>
      <w:pPr>
        <w:spacing w:after="360"/>
      </w:pPr>
      <w:r>
        <w:rPr>
          <w:rFonts w:ascii="Calibri" w:cs="Calibri" w:eastAsia="Calibri" w:hAnsi="Calibri"/>
          <w:sz w:val="22"/>
          <w:szCs w:val="22"/>
        </w:rPr>
        <w:t xml:space="preserve">Sincerely,</w:t>
      </w:r>
    </w:p>
    <w:p>
      <w:pPr>
        <w:spacing w:after="60"/>
      </w:pPr>
      <w:r>
        <w:rPr>
          <w:rFonts w:ascii="Calibri" w:cs="Calibri" w:eastAsia="Calibri" w:hAnsi="Calibri"/>
          <w:sz w:val="22"/>
          <w:szCs w:val="22"/>
        </w:rPr>
        <w:t xml:space="preserve">Max Mihir Oza</w:t>
      </w:r>
    </w:p>
    <w:p>
      <w:pPr>
        <w:spacing w:after="60"/>
      </w:pPr>
      <w:r>
        <w:rPr>
          <w:rFonts w:ascii="Calibri" w:cs="Calibri" w:eastAsia="Calibri" w:hAnsi="Calibri"/>
          <w:sz w:val="22"/>
          <w:szCs w:val="22"/>
        </w:rPr>
        <w:t xml:space="preserve">180 Littleton Rd, Parsippany, NJ 07054</w:t>
      </w:r>
    </w:p>
    <w:p>
      <w:pPr>
        <w:spacing w:after="0"/>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rPr>
        <w:rFonts w:ascii="Symbol" w:cs="Symbol" w:eastAsia="Symbol" w:hAnsi="Symbo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2026-08-25T19:07:35.775Z</dcterms:created>
  <dcterms:modified xsi:type="dcterms:W3CDTF">2026-08-25T19:07:35.787Z</dcterms:modified>
</cp:coreProperties>
</file>

<file path=docProps/custom.xml><?xml version="1.0" encoding="utf-8"?>
<Properties xmlns="http://schemas.openxmlformats.org/officeDocument/2006/custom-properties" xmlns:vt="http://schemas.openxmlformats.org/officeDocument/2006/docPropsVTypes"/>
</file>