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color w:val="1A1A1A"/>
          <w:spacing w:val="24"/>
          <w:sz w:val="40"/>
          <w:szCs w:val="40"/>
        </w:rPr>
        <w:t xml:space="preserve">MAX MIHIR OZA</w:t>
      </w:r>
    </w:p>
    <w:p>
      <w:pPr>
        <w:pBdr>
          <w:bottom w:val="single" w:color="B7B7B7" w:sz="6" w:space="6"/>
        </w:pBdr>
        <w:spacing w:after="320"/>
      </w:pPr>
      <w:r>
        <w:rPr>
          <w:rFonts w:ascii="Cambria" w:cs="Cambria" w:eastAsia="Cambria" w:hAnsi="Cambria"/>
          <w:color w:val="5F5F5F"/>
          <w:sz w:val="18"/>
          <w:szCs w:val="18"/>
        </w:rPr>
        <w:t xml:space="preserve">Parsippany, New Jersey  |  201 247 1371  |  ozamihir@shu.edu  |  linkedin.com/in/mihir-oza</w:t>
      </w:r>
    </w:p>
    <w:p>
      <w:pPr>
        <w:spacing w:after="240" w:line="264"/>
      </w:pPr>
      <w:r>
        <w:rPr>
          <w:rFonts w:ascii="Cambria" w:cs="Cambria" w:eastAsia="Cambria" w:hAnsi="Cambria"/>
          <w:color w:val="1A1A1A"/>
          <w:sz w:val="21"/>
          <w:szCs w:val="21"/>
        </w:rPr>
        <w:t xml:space="preserve">August 14, 2026</w:t>
      </w:r>
    </w:p>
    <w:p>
      <w:pPr>
        <w:spacing w:after="0" w:line="240"/>
      </w:pPr>
      <w:r>
        <w:rPr>
          <w:rFonts w:ascii="Cambria" w:cs="Cambria" w:eastAsia="Cambria" w:hAnsi="Cambria"/>
          <w:color w:val="1A1A1A"/>
          <w:sz w:val="21"/>
          <w:szCs w:val="21"/>
        </w:rPr>
        <w:t xml:space="preserve">Search Committee</w:t>
      </w:r>
    </w:p>
    <w:p>
      <w:pPr>
        <w:spacing w:after="0" w:line="240"/>
      </w:pPr>
      <w:r>
        <w:rPr>
          <w:rFonts w:ascii="Cambria" w:cs="Cambria" w:eastAsia="Cambria" w:hAnsi="Cambria"/>
          <w:color w:val="1A1A1A"/>
          <w:sz w:val="21"/>
          <w:szCs w:val="21"/>
        </w:rPr>
        <w:t xml:space="preserve">Office of the Dean, College of Arts and Sciences</w:t>
      </w:r>
    </w:p>
    <w:p>
      <w:pPr>
        <w:spacing w:after="0" w:line="240"/>
      </w:pPr>
      <w:r>
        <w:rPr>
          <w:rFonts w:ascii="Cambria" w:cs="Cambria" w:eastAsia="Cambria" w:hAnsi="Cambria"/>
          <w:color w:val="1A1A1A"/>
          <w:sz w:val="21"/>
          <w:szCs w:val="21"/>
        </w:rPr>
        <w:t xml:space="preserve">Seton Hall University</w:t>
      </w:r>
    </w:p>
    <w:p>
      <w:pPr>
        <w:spacing w:after="280" w:line="240"/>
      </w:pPr>
      <w:r>
        <w:rPr>
          <w:rFonts w:ascii="Cambria" w:cs="Cambria" w:eastAsia="Cambria" w:hAnsi="Cambria"/>
          <w:color w:val="1A1A1A"/>
          <w:sz w:val="21"/>
          <w:szCs w:val="21"/>
        </w:rPr>
        <w:t xml:space="preserve">South Orange, New Jersey</w:t>
      </w:r>
    </w:p>
    <w:p>
      <w:pPr>
        <w:spacing w:after="240"/>
      </w:pPr>
      <w:r>
        <w:rPr>
          <w:rFonts w:ascii="Cambria" w:cs="Cambria" w:eastAsia="Cambria" w:hAnsi="Cambria"/>
          <w:b/>
          <w:bCs/>
          <w:color w:val="1A1A1A"/>
          <w:sz w:val="21"/>
          <w:szCs w:val="21"/>
        </w:rPr>
        <w:t xml:space="preserve">Re: Academic Operations Coordinator, College of Arts and Sciences (Job No. 497377)</w:t>
      </w:r>
    </w:p>
    <w:p>
      <w:pPr>
        <w:spacing w:after="200" w:line="264"/>
      </w:pPr>
      <w:r>
        <w:rPr>
          <w:rFonts w:ascii="Cambria" w:cs="Cambria" w:eastAsia="Cambria" w:hAnsi="Cambria"/>
          <w:color w:val="1A1A1A"/>
          <w:sz w:val="21"/>
          <w:szCs w:val="21"/>
        </w:rPr>
        <w:t xml:space="preserve">Dear Search Committee,</w:t>
      </w:r>
    </w:p>
    <w:p>
      <w:pPr>
        <w:spacing w:after="200" w:line="264"/>
      </w:pPr>
      <w:r>
        <w:rPr>
          <w:rFonts w:ascii="Cambria" w:cs="Cambria" w:eastAsia="Cambria" w:hAnsi="Cambria"/>
          <w:color w:val="1A1A1A"/>
          <w:sz w:val="21"/>
          <w:szCs w:val="21"/>
        </w:rPr>
        <w:t xml:space="preserve">I am pleased to apply for the Academic Operations Coordinator position with the College of Arts and Sciences at Seton Hall University. As I prepare to begin my Ph.D. in Higher Education Leadership, Management and Policy here this fall, I am drawn to the opportunity to support department chairs, faculty, and students through the day-to-day operations that make an academic unit work. The role is especially compelling because academic operations is where institutional intent becomes student experience: a course schedule that opens on time, a registration hold resolved before add/drop closes, a reimbursement processed without a second follow-up, and a student who receives a clear answer rather than another referral.</w:t>
      </w:r>
    </w:p>
    <w:p>
      <w:pPr>
        <w:spacing w:after="200" w:line="264"/>
      </w:pPr>
      <w:r>
        <w:rPr>
          <w:rFonts w:ascii="Cambria" w:cs="Cambria" w:eastAsia="Cambria" w:hAnsi="Cambria"/>
          <w:color w:val="1A1A1A"/>
          <w:sz w:val="21"/>
          <w:szCs w:val="21"/>
        </w:rPr>
        <w:t xml:space="preserve">As a Graduate Assistant at Eastern University, where I am completing an MBA in Organizational Management with a 3.87 GPA, I supported the full lifecycle of two high-enrollment courses serving more than 200 students per semester — LMS administration, enrollment monitoring, textbook procurement, grading and academic progress tracking, and maintenance of student records handled with appropriate confidentiality. I also served as the first point of contact for students navigating requirements, forms, and referrals. In one instance, an adult student could not access a required feature for his economics coursework after the issue had been overlooked. I scheduled a call, reviewed the course and platform context, identified a technical glitch, guided him through the solution, documented the steps, and followed up to ensure he could move forward. That intake-triage-resolve-document-follow-up pattern is precisely what I would bring to student inquiries, registration and advising triage, and faculty support in your departments.</w:t>
      </w:r>
    </w:p>
    <w:p>
      <w:pPr>
        <w:spacing w:after="200" w:line="264"/>
      </w:pPr>
      <w:r>
        <w:rPr>
          <w:rFonts w:ascii="Cambria" w:cs="Cambria" w:eastAsia="Cambria" w:hAnsi="Cambria"/>
          <w:color w:val="1A1A1A"/>
          <w:sz w:val="21"/>
          <w:szCs w:val="21"/>
        </w:rPr>
        <w:t xml:space="preserve">I would also bring more than 13 years of experience running the administrative and financial machinery behind complex organizations. Across roles at Interpublic Group, HCL Americas, Millennium Systems International, Société Générale, and Mangu Publishers, I have chaired a $50 million annual budget committee, tracked spend and vendor documentation against policy, coordinated purchasing and procurement workflows, managed hiring and onboarding as I scaled a team from 6 to 55, and built the trackers, SOPs, and reporting that keep distributed work accountable. At Mangu Publishers I rebuilt a knowledge management infrastructure, retiring more than 30 outdated materials and improving retrieval efficiency by 50 percent — the same discipline that turns scattered departmental practice into documented, repeatable process.</w:t>
      </w:r>
    </w:p>
    <w:p>
      <w:pPr>
        <w:spacing w:after="200" w:line="264"/>
      </w:pPr>
      <w:r>
        <w:rPr>
          <w:rFonts w:ascii="Cambria" w:cs="Cambria" w:eastAsia="Cambria" w:hAnsi="Cambria"/>
          <w:color w:val="1A1A1A"/>
          <w:sz w:val="21"/>
          <w:szCs w:val="21"/>
        </w:rPr>
        <w:t xml:space="preserve">On systems and discretion: I work fluently in Microsoft 365 and SharePoint, have administered enterprise platforms including Salesforce, Microsoft Dynamics 365, and SAP, and have consistently been the person who learns a new institutional system quickly and then teaches it to everyone else — so Banner, Cognos, Unimarket, and Formstack are onboarding tasks, not obstacles. I have handled confidential personnel, financial, and student information throughout my career and understand the care that FERPA-protected records, personnel matters, and escalation practices require. I am equally comfortable preparing materials for open houses, speaker events, and assessment or accreditation documentation, and carrying each item through to completion rather than to handoff.</w:t>
      </w:r>
    </w:p>
    <w:p>
      <w:pPr>
        <w:spacing w:after="200" w:line="264"/>
      </w:pPr>
      <w:r>
        <w:rPr>
          <w:rFonts w:ascii="Cambria" w:cs="Cambria" w:eastAsia="Cambria" w:hAnsi="Cambria"/>
          <w:color w:val="1A1A1A"/>
          <w:sz w:val="21"/>
          <w:szCs w:val="21"/>
        </w:rPr>
        <w:t xml:space="preserve">My interest in higher education centers on how institutions build environments in which students can see a pathway, access meaningful opportunities, and persist toward ambitious goals. Seton Hall’s commitment to servant leadership and to educating the whole student resonates strongly with that focus, and my doctoral study here gives me a standing interest in the College’s operational effectiveness well beyond any single semester. As both an incoming doctoral student and an experienced practitioner, I would be proud to help chairs, faculty, and students spend less time on process and more time on the work that brought them here.</w:t>
      </w:r>
    </w:p>
    <w:p>
      <w:pPr>
        <w:spacing w:after="320" w:line="264"/>
      </w:pPr>
      <w:r>
        <w:rPr>
          <w:rFonts w:ascii="Cambria" w:cs="Cambria" w:eastAsia="Cambria" w:hAnsi="Cambria"/>
          <w:color w:val="1A1A1A"/>
          <w:sz w:val="21"/>
          <w:szCs w:val="21"/>
        </w:rPr>
        <w:t xml:space="preserve">Thank you for your consideration. I would welcome the opportunity to bring my operations experience, systems fluency, student-support orientation, and follow-through to the College of Arts and Sciences.</w:t>
      </w:r>
    </w:p>
    <w:p>
      <w:pPr>
        <w:spacing w:after="280" w:line="240"/>
      </w:pPr>
      <w:r>
        <w:rPr>
          <w:rFonts w:ascii="Cambria" w:cs="Cambria" w:eastAsia="Cambria" w:hAnsi="Cambria"/>
          <w:color w:val="1A1A1A"/>
          <w:sz w:val="21"/>
          <w:szCs w:val="21"/>
        </w:rPr>
        <w:t xml:space="preserve">Sincerely,</w:t>
      </w:r>
    </w:p>
    <w:p>
      <w:pPr>
        <w:spacing w:after="0" w:line="240"/>
      </w:pPr>
      <w:r>
        <w:rPr>
          <w:rFonts w:ascii="Cambria" w:cs="Cambria" w:eastAsia="Cambria" w:hAnsi="Cambria"/>
          <w:color w:val="1A1A1A"/>
          <w:sz w:val="21"/>
          <w:szCs w:val="21"/>
        </w:rPr>
        <w:t xml:space="preserve">Max Mihir Oza</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2026-08-14T04:27:26.850Z</dcterms:created>
  <dcterms:modified xsi:type="dcterms:W3CDTF">2026-08-14T04:27:26.864Z</dcterms:modified>
</cp:coreProperties>
</file>

<file path=docProps/custom.xml><?xml version="1.0" encoding="utf-8"?>
<Properties xmlns="http://schemas.openxmlformats.org/officeDocument/2006/custom-properties" xmlns:vt="http://schemas.openxmlformats.org/officeDocument/2006/docPropsVTypes"/>
</file>