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color w:val="1A1A1A"/>
          <w:spacing w:val="22"/>
          <w:sz w:val="36"/>
          <w:szCs w:val="36"/>
        </w:rPr>
        <w:t xml:space="preserve">MAX MIHIR OZA</w:t>
      </w:r>
    </w:p>
    <w:p>
      <w:pPr>
        <w:spacing w:after="30"/>
      </w:pPr>
      <w:r>
        <w:rPr>
          <w:rFonts w:ascii="Cambria" w:cs="Cambria" w:eastAsia="Cambria" w:hAnsi="Cambria"/>
          <w:i/>
          <w:iCs/>
          <w:color w:val="626262"/>
          <w:sz w:val="19"/>
          <w:szCs w:val="19"/>
        </w:rPr>
        <w:t xml:space="preserve">Academic Operations &amp; Higher Education Administration  |  Scholar-Practitioner</w:t>
      </w:r>
    </w:p>
    <w:p>
      <w:pPr>
        <w:pBdr>
          <w:bottom w:val="single" w:color="B7B7B7" w:sz="6" w:space="5"/>
        </w:pBdr>
        <w:spacing w:after="40"/>
      </w:pPr>
      <w:r>
        <w:rPr>
          <w:rFonts w:ascii="Cambria" w:cs="Cambria" w:eastAsia="Cambria" w:hAnsi="Cambria"/>
          <w:color w:val="626262"/>
          <w:sz w:val="18"/>
          <w:szCs w:val="18"/>
        </w:rPr>
        <w:t xml:space="preserve">Parsippany, NJ  ·  (201) 247-1371  ·  ozamihir@shu.edu  ·  linkedin.com/in/mihir-oza</w:t>
      </w:r>
    </w:p>
    <w:p>
      <w:pPr>
        <w:pBdr>
          <w:bottom w:val="single" w:color="B7B7B7" w:sz="6" w:space="5"/>
        </w:pBdr>
        <w:spacing w:after="140" w:before="300"/>
      </w:pPr>
      <w:r>
        <w:rPr>
          <w:rFonts w:ascii="Cambria" w:cs="Cambria" w:eastAsia="Cambria" w:hAnsi="Cambria"/>
          <w:b/>
          <w:bCs/>
          <w:color w:val="1A1A1A"/>
          <w:spacing w:val="14"/>
          <w:sz w:val="17"/>
          <w:szCs w:val="17"/>
        </w:rPr>
        <w:t xml:space="preserve">PROFILE</w:t>
      </w:r>
    </w:p>
    <w:p>
      <w:pPr>
        <w:spacing w:after="12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Higher education professional and incoming Seton Hall doctoral student with </w:t>
      </w:r>
      <w:r>
        <w:rPr>
          <w:rFonts w:ascii="Cambria" w:cs="Cambria" w:eastAsia="Cambria" w:hAnsi="Cambria"/>
          <w:b/>
          <w:bCs/>
          <w:color w:val="1A1A1A"/>
          <w:sz w:val="20"/>
          <w:szCs w:val="20"/>
        </w:rPr>
        <w:t xml:space="preserve">13+ years of progressive experience</w:t>
      </w:r>
      <w:r>
        <w:rPr>
          <w:rFonts w:ascii="Cambria" w:cs="Cambria" w:eastAsia="Cambria" w:hAnsi="Cambria"/>
          <w:color w:val="1A1A1A"/>
          <w:sz w:val="20"/>
          <w:szCs w:val="20"/>
        </w:rPr>
        <w:t xml:space="preserve"> in operations, program management, procurement, budget oversight, and stakeholder coordination across enterprise, financial, and healthcare environments — now applied to academic department administration. Direct experience supporting the full course lifecycle for high-enrollment courses: LMS administration, enrollment monitoring, records management, textbook procurement, and student-facing inquiry triage for </w:t>
      </w:r>
      <w:r>
        <w:rPr>
          <w:rFonts w:ascii="Cambria" w:cs="Cambria" w:eastAsia="Cambria" w:hAnsi="Cambria"/>
          <w:b/>
          <w:bCs/>
          <w:color w:val="1A1A1A"/>
          <w:sz w:val="20"/>
          <w:szCs w:val="20"/>
        </w:rPr>
        <w:t xml:space="preserve">200+ students per semester</w:t>
      </w:r>
      <w:r>
        <w:rPr>
          <w:rFonts w:ascii="Cambria" w:cs="Cambria" w:eastAsia="Cambria" w:hAnsi="Cambria"/>
          <w:color w:val="1A1A1A"/>
          <w:sz w:val="20"/>
          <w:szCs w:val="20"/>
        </w:rPr>
        <w:t xml:space="preserve">. Currently completing an MBA with a </w:t>
      </w:r>
      <w:r>
        <w:rPr>
          <w:rFonts w:ascii="Cambria" w:cs="Cambria" w:eastAsia="Cambria" w:hAnsi="Cambria"/>
          <w:b/>
          <w:bCs/>
          <w:color w:val="1A1A1A"/>
          <w:sz w:val="20"/>
          <w:szCs w:val="20"/>
        </w:rPr>
        <w:t xml:space="preserve">3.87 GPA</w:t>
      </w:r>
      <w:r>
        <w:rPr>
          <w:rFonts w:ascii="Cambria" w:cs="Cambria" w:eastAsia="Cambria" w:hAnsi="Cambria"/>
          <w:color w:val="1A1A1A"/>
          <w:sz w:val="20"/>
          <w:szCs w:val="20"/>
        </w:rPr>
        <w:t xml:space="preserve">.</w:t>
      </w:r>
    </w:p>
    <w:p>
      <w:p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 Work is grounded in a core question: </w:t>
      </w:r>
      <w:r>
        <w:rPr>
          <w:rFonts w:ascii="Cambria" w:cs="Cambria" w:eastAsia="Cambria" w:hAnsi="Cambria"/>
          <w:i/>
          <w:iCs/>
          <w:color w:val="1A1A1A"/>
          <w:sz w:val="20"/>
          <w:szCs w:val="20"/>
        </w:rPr>
        <w:t xml:space="preserve">how do leadership practices, organizational structures, and operational systems shape an institution’s capacity to serve its students equitably and effectively?</w:t>
      </w:r>
    </w:p>
    <w:p>
      <w:pPr>
        <w:pBdr>
          <w:bottom w:val="single" w:color="B7B7B7" w:sz="6" w:space="5"/>
        </w:pBdr>
        <w:spacing w:after="140" w:before="300"/>
      </w:pPr>
      <w:r>
        <w:rPr>
          <w:rFonts w:ascii="Cambria" w:cs="Cambria" w:eastAsia="Cambria" w:hAnsi="Cambria"/>
          <w:b/>
          <w:bCs/>
          <w:color w:val="1A1A1A"/>
          <w:spacing w:val="14"/>
          <w:sz w:val="17"/>
          <w:szCs w:val="17"/>
        </w:rPr>
        <w:t xml:space="preserve">EDUCATION</w:t>
      </w:r>
    </w:p>
    <w:p>
      <w:pPr>
        <w:tabs>
          <w:tab w:val="right" w:pos="9360"/>
        </w:tabs>
        <w:spacing w:after="0" w:before="1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Cambria" w:cs="Cambria" w:eastAsia="Cambria" w:hAnsi="Cambria"/>
          <w:sz w:val="22"/>
          <w:szCs w:val="22"/>
        </w:rPr>
        <w:tab/>
      </w:r>
      <w:r>
        <w:rPr>
          <w:rFonts w:ascii="Cambria" w:cs="Cambria" w:eastAsia="Cambria" w:hAnsi="Cambria"/>
          <w:color w:val="626262"/>
          <w:sz w:val="19"/>
          <w:szCs w:val="19"/>
        </w:rPr>
        <w:t xml:space="preserve">Enrolled Fall 2026</w:t>
      </w:r>
    </w:p>
    <w:p>
      <w:pPr>
        <w:spacing w:after="80"/>
      </w:pPr>
      <w:r>
        <w:rPr>
          <w:rFonts w:ascii="Cambria" w:cs="Cambria" w:eastAsia="Cambria" w:hAnsi="Cambria"/>
          <w:i/>
          <w:iCs/>
          <w:color w:val="626262"/>
          <w:sz w:val="19"/>
          <w:szCs w:val="19"/>
        </w:rPr>
        <w:t xml:space="preserve">Seton Hall University  ·  South Orange, NJ</w:t>
      </w:r>
    </w:p>
    <w:p>
      <w:pPr>
        <w:tabs>
          <w:tab w:val="right" w:pos="9360"/>
        </w:tabs>
        <w:spacing w:after="0" w:before="1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Cambria" w:cs="Cambria" w:eastAsia="Cambria" w:hAnsi="Cambria"/>
          <w:sz w:val="22"/>
          <w:szCs w:val="22"/>
        </w:rPr>
        <w:tab/>
      </w:r>
      <w:r>
        <w:rPr>
          <w:rFonts w:ascii="Cambria" w:cs="Cambria" w:eastAsia="Cambria" w:hAnsi="Cambria"/>
          <w:color w:val="626262"/>
          <w:sz w:val="19"/>
          <w:szCs w:val="19"/>
        </w:rPr>
        <w:t xml:space="preserve">Expected Fall 2026</w:t>
      </w:r>
    </w:p>
    <w:p>
      <w:pPr>
        <w:spacing w:after="80"/>
      </w:pPr>
      <w:r>
        <w:rPr>
          <w:rFonts w:ascii="Cambria" w:cs="Cambria" w:eastAsia="Cambria" w:hAnsi="Cambria"/>
          <w:i/>
          <w:iCs/>
          <w:color w:val="626262"/>
          <w:sz w:val="19"/>
          <w:szCs w:val="19"/>
        </w:rPr>
        <w:t xml:space="preserve">Eastern University  ·  St. Davids, PA  ·  GPA: 3.87 / 4.0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Concentrations: Human Resources, Artificial Intelligence, Sustainable Development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Relevant coursework: Organizational Change &amp; Development, Data Analytics for Decision-Making, Technology Strategy, Research Methods in Organizational Studies</w:t>
      </w:r>
    </w:p>
    <w:p>
      <w:pPr>
        <w:tabs>
          <w:tab w:val="right" w:pos="9360"/>
        </w:tabs>
        <w:spacing w:after="0" w:before="1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Bachelor of Science in Business Administration, Marketing Concentration</w:t>
      </w:r>
      <w:r>
        <w:rPr>
          <w:rFonts w:ascii="Cambria" w:cs="Cambria" w:eastAsia="Cambria" w:hAnsi="Cambria"/>
          <w:sz w:val="22"/>
          <w:szCs w:val="22"/>
        </w:rPr>
        <w:tab/>
      </w:r>
      <w:r>
        <w:rPr>
          <w:rFonts w:ascii="Cambria" w:cs="Cambria" w:eastAsia="Cambria" w:hAnsi="Cambria"/>
          <w:color w:val="626262"/>
          <w:sz w:val="19"/>
          <w:szCs w:val="19"/>
        </w:rPr>
        <w:t xml:space="preserve">2010</w:t>
      </w:r>
    </w:p>
    <w:p>
      <w:pPr>
        <w:spacing w:after="80"/>
      </w:pPr>
      <w:r>
        <w:rPr>
          <w:rFonts w:ascii="Cambria" w:cs="Cambria" w:eastAsia="Cambria" w:hAnsi="Cambria"/>
          <w:i/>
          <w:iCs/>
          <w:color w:val="626262"/>
          <w:sz w:val="19"/>
          <w:szCs w:val="19"/>
        </w:rPr>
        <w:t xml:space="preserve">Drexel University  ·  Philadelphia, PA</w:t>
      </w:r>
    </w:p>
    <w:p>
      <w:pPr>
        <w:pBdr>
          <w:bottom w:val="single" w:color="B7B7B7" w:sz="6" w:space="5"/>
        </w:pBdr>
        <w:spacing w:after="140" w:before="300"/>
      </w:pPr>
      <w:r>
        <w:rPr>
          <w:rFonts w:ascii="Cambria" w:cs="Cambria" w:eastAsia="Cambria" w:hAnsi="Cambria"/>
          <w:b/>
          <w:bCs/>
          <w:color w:val="1A1A1A"/>
          <w:spacing w:val="14"/>
          <w:sz w:val="17"/>
          <w:szCs w:val="17"/>
        </w:rPr>
        <w:t xml:space="preserve">HIGHER EDUCATION EXPERIENCE</w:t>
      </w:r>
    </w:p>
    <w:p>
      <w:pPr>
        <w:tabs>
          <w:tab w:val="right" w:pos="9360"/>
        </w:tabs>
        <w:spacing w:after="0" w:before="1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Graduate Assistant — Academic &amp; Course Support</w:t>
      </w:r>
      <w:r>
        <w:rPr>
          <w:rFonts w:ascii="Cambria" w:cs="Cambria" w:eastAsia="Cambria" w:hAnsi="Cambria"/>
          <w:sz w:val="22"/>
          <w:szCs w:val="22"/>
        </w:rPr>
        <w:tab/>
      </w:r>
      <w:r>
        <w:rPr>
          <w:rFonts w:ascii="Cambria" w:cs="Cambria" w:eastAsia="Cambria" w:hAnsi="Cambria"/>
          <w:color w:val="626262"/>
          <w:sz w:val="19"/>
          <w:szCs w:val="19"/>
        </w:rPr>
        <w:t xml:space="preserve">May 2025 – Dec 2025</w:t>
      </w:r>
    </w:p>
    <w:p>
      <w:pPr>
        <w:spacing w:after="80"/>
      </w:pPr>
      <w:r>
        <w:rPr>
          <w:rFonts w:ascii="Cambria" w:cs="Cambria" w:eastAsia="Cambria" w:hAnsi="Cambria"/>
          <w:i/>
          <w:iCs/>
          <w:color w:val="626262"/>
          <w:sz w:val="19"/>
          <w:szCs w:val="19"/>
        </w:rPr>
        <w:t xml:space="preserve">Eastern University  •  St. Davids, PA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Managed full course lifecycle operations across two high-enrollment courses (200+ students per semester) — LMS administration (Canvas / Brightspace), section setup and enrollment monitoring, textbook and materials procurement, and maintenance of academic records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Served as first point of contact for student inquiries, triaging routine questions on requirements, deadlines, and forms; escalated complex cases to faculty and coordinated referrals to advising and support offices, tracking each item through resolution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Supported assessment design, grading workflows, grade-change documentation, and academic progress monitoring in close collaboration with course faculty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Handled student records and performance data with strict confidentiality; analyzed trends to surface at-risk students and produced formal reports and recommendations that informed targeted instructional interventions</w:t>
      </w:r>
    </w:p>
    <w:p>
      <w:pPr>
        <w:pBdr>
          <w:bottom w:val="single" w:color="B7B7B7" w:sz="6" w:space="5"/>
        </w:pBdr>
        <w:spacing w:after="140" w:before="300"/>
      </w:pPr>
      <w:r>
        <w:rPr>
          <w:rFonts w:ascii="Cambria" w:cs="Cambria" w:eastAsia="Cambria" w:hAnsi="Cambria"/>
          <w:b/>
          <w:bCs/>
          <w:color w:val="1A1A1A"/>
          <w:spacing w:val="14"/>
          <w:sz w:val="17"/>
          <w:szCs w:val="17"/>
        </w:rPr>
        <w:t xml:space="preserve">OPERATIONS &amp; ADMINISTRATIVE EXPERIENCE</w:t>
      </w:r>
    </w:p>
    <w:p>
      <w:pPr>
        <w:tabs>
          <w:tab w:val="right" w:pos="9360"/>
        </w:tabs>
        <w:spacing w:after="0" w:before="1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Senior PM &amp; Technical Lead</w:t>
      </w:r>
      <w:r>
        <w:rPr>
          <w:rFonts w:ascii="Cambria" w:cs="Cambria" w:eastAsia="Cambria" w:hAnsi="Cambria"/>
          <w:sz w:val="22"/>
          <w:szCs w:val="22"/>
        </w:rPr>
        <w:tab/>
      </w:r>
      <w:r>
        <w:rPr>
          <w:rFonts w:ascii="Cambria" w:cs="Cambria" w:eastAsia="Cambria" w:hAnsi="Cambria"/>
          <w:color w:val="626262"/>
          <w:sz w:val="19"/>
          <w:szCs w:val="19"/>
        </w:rPr>
        <w:t xml:space="preserve">Jan 2023 – Dec 2025</w:t>
      </w:r>
    </w:p>
    <w:p>
      <w:pPr>
        <w:spacing w:after="80"/>
      </w:pPr>
      <w:r>
        <w:rPr>
          <w:rFonts w:ascii="Cambria" w:cs="Cambria" w:eastAsia="Cambria" w:hAnsi="Cambria"/>
          <w:i/>
          <w:iCs/>
          <w:color w:val="626262"/>
          <w:sz w:val="19"/>
          <w:szCs w:val="19"/>
        </w:rPr>
        <w:t xml:space="preserve">Mangu Publishers  •  Parsippany, NJ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Led full lifecycle implementation of a resource-matching platform; conducted intake and requirements sessions with 50+ stakeholders, prioritized needs, and delivered 12 enhancements across six cycles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Built standardized knowledge management and records infrastructure — retiring 30+ outdated materials and improving information retrieval efficiency by 50%</w:t>
      </w:r>
    </w:p>
    <w:p>
      <w:pPr>
        <w:tabs>
          <w:tab w:val="right" w:pos="9360"/>
        </w:tabs>
        <w:spacing w:after="0" w:before="1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Technical Project Manager</w:t>
      </w:r>
      <w:r>
        <w:rPr>
          <w:rFonts w:ascii="Cambria" w:cs="Cambria" w:eastAsia="Cambria" w:hAnsi="Cambria"/>
          <w:sz w:val="22"/>
          <w:szCs w:val="22"/>
        </w:rPr>
        <w:tab/>
      </w:r>
      <w:r>
        <w:rPr>
          <w:rFonts w:ascii="Cambria" w:cs="Cambria" w:eastAsia="Cambria" w:hAnsi="Cambria"/>
          <w:color w:val="626262"/>
          <w:sz w:val="19"/>
          <w:szCs w:val="19"/>
        </w:rPr>
        <w:t xml:space="preserve">2023</w:t>
      </w:r>
    </w:p>
    <w:p>
      <w:pPr>
        <w:spacing w:after="80"/>
      </w:pPr>
      <w:r>
        <w:rPr>
          <w:rFonts w:ascii="Cambria" w:cs="Cambria" w:eastAsia="Cambria" w:hAnsi="Cambria"/>
          <w:i/>
          <w:iCs/>
          <w:color w:val="626262"/>
          <w:sz w:val="19"/>
          <w:szCs w:val="19"/>
        </w:rPr>
        <w:t xml:space="preserve">Interpublic Group of Companies  •  Jersey City, NJ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Coordinated enterprise system implementations (Salesforce, Microsoft Dynamics 365, Maximo, Active Directory) for 600 users across multiple subsidiary agencies, including onboarding, access provisioning, and end-user training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Delivered platform migration projects 75% ahead of schedule; facilitated monthly executive briefings and maintained status trackers for product, technology, and senior leadership stakeholders</w:t>
      </w:r>
    </w:p>
    <w:p>
      <w:pPr>
        <w:tabs>
          <w:tab w:val="right" w:pos="9360"/>
        </w:tabs>
        <w:spacing w:after="0" w:before="1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Program Manager</w:t>
      </w:r>
      <w:r>
        <w:rPr>
          <w:rFonts w:ascii="Cambria" w:cs="Cambria" w:eastAsia="Cambria" w:hAnsi="Cambria"/>
          <w:sz w:val="22"/>
          <w:szCs w:val="22"/>
        </w:rPr>
        <w:tab/>
      </w:r>
      <w:r>
        <w:rPr>
          <w:rFonts w:ascii="Cambria" w:cs="Cambria" w:eastAsia="Cambria" w:hAnsi="Cambria"/>
          <w:color w:val="626262"/>
          <w:sz w:val="19"/>
          <w:szCs w:val="19"/>
        </w:rPr>
        <w:t xml:space="preserve">Apr 2021 – Aug 2022</w:t>
      </w:r>
    </w:p>
    <w:p>
      <w:pPr>
        <w:spacing w:after="80"/>
      </w:pPr>
      <w:r>
        <w:rPr>
          <w:rFonts w:ascii="Cambria" w:cs="Cambria" w:eastAsia="Cambria" w:hAnsi="Cambria"/>
          <w:i/>
          <w:iCs/>
          <w:color w:val="626262"/>
          <w:sz w:val="19"/>
          <w:szCs w:val="19"/>
        </w:rPr>
        <w:t xml:space="preserve">HCL Americas (Becton Dickinson &amp; Bristol Myers Squibb)  •  Franklin Lakes, NJ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Designed and implemented submission and approval automation across 49 business lines, eliminating manual intake processes and generating $10M in documented annual savings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Directed three cloud migration projects and a 10,000-user client migration; established centralized KPI reporting dashboards supporting executive data-informed decision-making</w:t>
      </w:r>
    </w:p>
    <w:p>
      <w:pPr>
        <w:tabs>
          <w:tab w:val="right" w:pos="9360"/>
        </w:tabs>
        <w:spacing w:after="0" w:before="1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Senior Project Manager</w:t>
      </w:r>
      <w:r>
        <w:rPr>
          <w:rFonts w:ascii="Cambria" w:cs="Cambria" w:eastAsia="Cambria" w:hAnsi="Cambria"/>
          <w:sz w:val="22"/>
          <w:szCs w:val="22"/>
        </w:rPr>
        <w:tab/>
      </w:r>
      <w:r>
        <w:rPr>
          <w:rFonts w:ascii="Cambria" w:cs="Cambria" w:eastAsia="Cambria" w:hAnsi="Cambria"/>
          <w:color w:val="626262"/>
          <w:sz w:val="19"/>
          <w:szCs w:val="19"/>
        </w:rPr>
        <w:t xml:space="preserve">Nov 2019 – Dec 2020</w:t>
      </w:r>
    </w:p>
    <w:p>
      <w:pPr>
        <w:spacing w:after="80"/>
      </w:pPr>
      <w:r>
        <w:rPr>
          <w:rFonts w:ascii="Cambria" w:cs="Cambria" w:eastAsia="Cambria" w:hAnsi="Cambria"/>
          <w:i/>
          <w:iCs/>
          <w:color w:val="626262"/>
          <w:sz w:val="19"/>
          <w:szCs w:val="19"/>
        </w:rPr>
        <w:t xml:space="preserve">Millennium Systems International  •  Parsippany, NJ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Chaired a $50M annual budget committee overseeing system development — reviewing spend, vendor commitments, and funding priorities; achieved 90% quarterly deliverable completion, enabling key contract wins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Increased development productivity 45% through workflow and tooling optimization; served as Scrum Master across three annual releases</w:t>
      </w:r>
    </w:p>
    <w:p>
      <w:pPr>
        <w:tabs>
          <w:tab w:val="right" w:pos="9360"/>
        </w:tabs>
        <w:spacing w:after="0" w:before="1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Senior Technical Product Manager</w:t>
      </w:r>
      <w:r>
        <w:rPr>
          <w:rFonts w:ascii="Cambria" w:cs="Cambria" w:eastAsia="Cambria" w:hAnsi="Cambria"/>
          <w:sz w:val="22"/>
          <w:szCs w:val="22"/>
        </w:rPr>
        <w:tab/>
      </w:r>
      <w:r>
        <w:rPr>
          <w:rFonts w:ascii="Cambria" w:cs="Cambria" w:eastAsia="Cambria" w:hAnsi="Cambria"/>
          <w:color w:val="626262"/>
          <w:sz w:val="19"/>
          <w:szCs w:val="19"/>
        </w:rPr>
        <w:t xml:space="preserve">Sep 2017 – Oct 2019</w:t>
      </w:r>
    </w:p>
    <w:p>
      <w:pPr>
        <w:spacing w:after="80"/>
      </w:pPr>
      <w:r>
        <w:rPr>
          <w:rFonts w:ascii="Cambria" w:cs="Cambria" w:eastAsia="Cambria" w:hAnsi="Cambria"/>
          <w:i/>
          <w:iCs/>
          <w:color w:val="626262"/>
          <w:sz w:val="19"/>
          <w:szCs w:val="19"/>
        </w:rPr>
        <w:t xml:space="preserve">Société Générale  •  New York, NY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Delivered federally mandated regulatory reports six weeks ahead of schedule within a $1.5M budget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Scaled a team from 6 to 55 — managing hiring documentation, onboarding, coverage planning, and timekeeping follow-through — realizing $800K in operational savings</w:t>
      </w:r>
    </w:p>
    <w:p>
      <w:pPr>
        <w:pBdr>
          <w:bottom w:val="single" w:color="B7B7B7" w:sz="6" w:space="5"/>
        </w:pBdr>
        <w:spacing w:after="140" w:before="300"/>
      </w:pPr>
      <w:r>
        <w:rPr>
          <w:rFonts w:ascii="Cambria" w:cs="Cambria" w:eastAsia="Cambria" w:hAnsi="Cambria"/>
          <w:b/>
          <w:bCs/>
          <w:color w:val="1A1A1A"/>
          <w:spacing w:val="14"/>
          <w:sz w:val="17"/>
          <w:szCs w:val="17"/>
        </w:rPr>
        <w:t xml:space="preserve">EARLIER ROLES</w:t>
      </w:r>
    </w:p>
    <w:p>
      <w:pPr>
        <w:spacing w:after="60" w:line="252"/>
      </w:pPr>
      <w:r>
        <w:rPr>
          <w:rFonts w:ascii="Cambria" w:cs="Cambria" w:eastAsia="Cambria" w:hAnsi="Cambria"/>
          <w:i/>
          <w:iCs/>
          <w:color w:val="1A1A1A"/>
          <w:sz w:val="20"/>
          <w:szCs w:val="20"/>
        </w:rPr>
        <w:t xml:space="preserve">Technical Project Manager, progressive responsibilities</w:t>
      </w:r>
      <w:r>
        <w:rPr>
          <w:rFonts w:ascii="Cambria" w:cs="Cambria" w:eastAsia="Cambria" w:hAnsi="Cambria"/>
          <w:color w:val="1A1A1A"/>
          <w:sz w:val="20"/>
          <w:szCs w:val="20"/>
        </w:rPr>
        <w:t xml:space="preserve"> — Mizuho Bank, Jersey City, NJ (2016–2017)  ·  L’Oréal USA, Berkeley Heights, NJ (2015)  ·  Investors Bank, Short Hills, NJ (2013–2015)  ·  Financial Executives International, Morristown, NJ (2011–2013)</w:t>
      </w:r>
    </w:p>
    <w:p>
      <w:pPr>
        <w:pBdr>
          <w:bottom w:val="single" w:color="B7B7B7" w:sz="6" w:space="5"/>
        </w:pBdr>
        <w:spacing w:after="140" w:before="300"/>
      </w:pPr>
      <w:r>
        <w:rPr>
          <w:rFonts w:ascii="Cambria" w:cs="Cambria" w:eastAsia="Cambria" w:hAnsi="Cambria"/>
          <w:b/>
          <w:bCs/>
          <w:color w:val="1A1A1A"/>
          <w:spacing w:val="14"/>
          <w:sz w:val="17"/>
          <w:szCs w:val="17"/>
        </w:rPr>
        <w:t xml:space="preserve">RESEARCH &amp; SCHOLARLY ENGAGEMENT</w:t>
      </w:r>
    </w:p>
    <w:p>
      <w:pPr>
        <w:tabs>
          <w:tab w:val="right" w:pos="9360"/>
        </w:tabs>
        <w:spacing w:after="0" w:before="1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Graduate Research — MBA Program</w:t>
      </w:r>
      <w:r>
        <w:rPr>
          <w:rFonts w:ascii="Cambria" w:cs="Cambria" w:eastAsia="Cambria" w:hAnsi="Cambria"/>
          <w:sz w:val="22"/>
          <w:szCs w:val="22"/>
        </w:rPr>
        <w:tab/>
      </w:r>
      <w:r>
        <w:rPr>
          <w:rFonts w:ascii="Cambria" w:cs="Cambria" w:eastAsia="Cambria" w:hAnsi="Cambria"/>
          <w:color w:val="626262"/>
          <w:sz w:val="19"/>
          <w:szCs w:val="19"/>
        </w:rPr>
        <w:t xml:space="preserve">2024 – Present</w:t>
      </w:r>
    </w:p>
    <w:p>
      <w:pPr>
        <w:spacing w:after="80"/>
      </w:pPr>
      <w:r>
        <w:rPr>
          <w:rFonts w:ascii="Cambria" w:cs="Cambria" w:eastAsia="Cambria" w:hAnsi="Cambria"/>
          <w:i/>
          <w:iCs/>
          <w:color w:val="626262"/>
          <w:sz w:val="19"/>
          <w:szCs w:val="19"/>
        </w:rPr>
        <w:t xml:space="preserve">Eastern University  •  St. Davids, PA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Conducted applied research on technology adoption and engagement patterns among adult learners within Learning Management System environments; findings informed recommendations on institutional effectiveness and platform optimization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Executed systematic literature reviews on organizational change, digital transformation, and student success frameworks in postsecondary education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Developed data-informed policy recommendations integrating quantitative usage data with qualitative stakeholder analysis to improve support delivery and enrollment outcomes for non-traditional students</w:t>
      </w:r>
    </w:p>
    <w:p>
      <w:pPr>
        <w:spacing w:after="60" w:line="252"/>
      </w:pPr>
      <w:r>
        <w:rPr>
          <w:rFonts w:ascii="Cambria" w:cs="Cambria" w:eastAsia="Cambria" w:hAnsi="Cambria"/>
          <w:b/>
          <w:bCs/>
          <w:color w:val="1A1A1A"/>
          <w:sz w:val="20"/>
          <w:szCs w:val="20"/>
        </w:rPr>
        <w:t xml:space="preserve">Research interests:  </w:t>
      </w:r>
      <w:r>
        <w:rPr>
          <w:rFonts w:ascii="Cambria" w:cs="Cambria" w:eastAsia="Cambria" w:hAnsi="Cambria"/>
          <w:color w:val="1A1A1A"/>
          <w:sz w:val="20"/>
          <w:szCs w:val="20"/>
        </w:rPr>
        <w:t xml:space="preserve">academic operations and institutional effectiveness · data-informed decision-making and continuous improvement · non-traditional student persistence and service delivery equity · digital transformation in postsecondary institutions</w:t>
      </w:r>
    </w:p>
    <w:p>
      <w:pPr>
        <w:pBdr>
          <w:bottom w:val="single" w:color="B7B7B7" w:sz="6" w:space="5"/>
        </w:pBdr>
        <w:spacing w:after="140" w:before="300"/>
      </w:pPr>
      <w:r>
        <w:rPr>
          <w:rFonts w:ascii="Cambria" w:cs="Cambria" w:eastAsia="Cambria" w:hAnsi="Cambria"/>
          <w:b/>
          <w:bCs/>
          <w:color w:val="1A1A1A"/>
          <w:spacing w:val="14"/>
          <w:sz w:val="17"/>
          <w:szCs w:val="17"/>
        </w:rPr>
        <w:t xml:space="preserve">SKILLS &amp; SYSTEMS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4760"/>
      </w:tblGrid>
      <w:tr>
        <w:tc>
          <w:tcPr>
            <w:tcW w:type="dxa" w:w="46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Academic Operations &amp; Course Lifecycle Support</w:t>
            </w:r>
          </w:p>
        </w:tc>
        <w:tc>
          <w:tcPr>
            <w:tcW w:type="dxa" w:w="476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LMS &amp; Student Platforms (Canvas, Brightspace, Moodle)</w:t>
            </w:r>
          </w:p>
        </w:tc>
      </w:tr>
      <w:tr>
        <w:tc>
          <w:tcPr>
            <w:tcW w:type="dxa" w:w="46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Registration, Enrollment &amp; Student Inquiry Triage</w:t>
            </w:r>
          </w:p>
        </w:tc>
        <w:tc>
          <w:tcPr>
            <w:tcW w:type="dxa" w:w="476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Microsoft 365, SharePoint, Excel, Teams</w:t>
            </w:r>
          </w:p>
        </w:tc>
      </w:tr>
      <w:tr>
        <w:tc>
          <w:tcPr>
            <w:tcW w:type="dxa" w:w="46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Procurement, Budget Tracking &amp; Vendor Coordination</w:t>
            </w:r>
          </w:p>
        </w:tc>
        <w:tc>
          <w:tcPr>
            <w:tcW w:type="dxa" w:w="476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Data Analysis &amp; Reporting (Power BI, Tableau)</w:t>
            </w:r>
          </w:p>
        </w:tc>
      </w:tr>
      <w:tr>
        <w:tc>
          <w:tcPr>
            <w:tcW w:type="dxa" w:w="46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HR &amp; Staffing Workflows (Hiring, Onboarding, Timekeeping)</w:t>
            </w:r>
          </w:p>
        </w:tc>
        <w:tc>
          <w:tcPr>
            <w:tcW w:type="dxa" w:w="476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CRM / ERP Systems (Salesforce, MS Dynamics 365, SAP)</w:t>
            </w:r>
          </w:p>
        </w:tc>
      </w:tr>
      <w:tr>
        <w:tc>
          <w:tcPr>
            <w:tcW w:type="dxa" w:w="46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SOPs, Trackers &amp; Process Documentation</w:t>
            </w:r>
          </w:p>
        </w:tc>
        <w:tc>
          <w:tcPr>
            <w:tcW w:type="dxa" w:w="476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Project Management (Agile, Scrum, Waterfall; PMP in progress)</w:t>
            </w:r>
          </w:p>
        </w:tc>
      </w:tr>
      <w:tr>
        <w:tc>
          <w:tcPr>
            <w:tcW w:type="dxa" w:w="46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Confidential &amp; FERPA-Sensitive Records Handling</w:t>
            </w:r>
          </w:p>
        </w:tc>
        <w:tc>
          <w:tcPr>
            <w:tcW w:type="dxa" w:w="476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Event, Open House &amp; Program Coordination</w:t>
            </w:r>
          </w:p>
        </w:tc>
      </w:tr>
      <w:tr>
        <w:tc>
          <w:tcPr>
            <w:tcW w:type="dxa" w:w="46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Stakeholder, Faculty &amp; Executive Communication</w:t>
            </w:r>
          </w:p>
        </w:tc>
        <w:tc>
          <w:tcPr>
            <w:tcW w:type="dxa" w:w="476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ambria" w:cs="Cambria" w:eastAsia="Cambria" w:hAnsi="Cambria"/>
                <w:color w:val="1A1A1A"/>
                <w:sz w:val="19"/>
                <w:szCs w:val="19"/>
              </w:rPr>
              <w:t xml:space="preserve">Applied Institutional Analytics &amp; Research Design</w:t>
            </w:r>
          </w:p>
        </w:tc>
      </w:tr>
    </w:tbl>
    <w:p>
      <w:pPr>
        <w:spacing w:after="0"/>
      </w:pPr>
    </w:p>
    <w:p>
      <w:pPr>
        <w:pBdr>
          <w:bottom w:val="single" w:color="B7B7B7" w:sz="6" w:space="5"/>
        </w:pBdr>
        <w:spacing w:after="140" w:before="300"/>
      </w:pPr>
      <w:r>
        <w:rPr>
          <w:rFonts w:ascii="Cambria" w:cs="Cambria" w:eastAsia="Cambria" w:hAnsi="Cambria"/>
          <w:b/>
          <w:bCs/>
          <w:color w:val="1A1A1A"/>
          <w:spacing w:val="14"/>
          <w:sz w:val="17"/>
          <w:szCs w:val="17"/>
        </w:rPr>
        <w:t xml:space="preserve">CERTIFICATIONS &amp; PROFESSIONAL AFFILIATIONS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Project Management Institute (PMI) — NJ Chapter Member &amp; Volunteer, 2024–Present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Software Engineering Bootcamp — General Assembly, 2025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Goode Education Group — Clean Energy Program Fellow, 2024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Building Science Principles — Building Performance Institute</w:t>
      </w:r>
    </w:p>
    <w:p>
      <w:pPr>
        <w:pBdr>
          <w:bottom w:val="single" w:color="B7B7B7" w:sz="6" w:space="5"/>
        </w:pBdr>
        <w:spacing w:after="140" w:before="300"/>
      </w:pPr>
      <w:r>
        <w:rPr>
          <w:rFonts w:ascii="Cambria" w:cs="Cambria" w:eastAsia="Cambria" w:hAnsi="Cambria"/>
          <w:b/>
          <w:bCs/>
          <w:color w:val="1A1A1A"/>
          <w:spacing w:val="14"/>
          <w:sz w:val="17"/>
          <w:szCs w:val="17"/>
        </w:rPr>
        <w:t xml:space="preserve">ADDITIONAL</w:t>
      </w:r>
    </w:p>
    <w:p>
      <w:pPr>
        <w:spacing w:after="0" w:line="252"/>
      </w:pPr>
      <w:r>
        <w:rPr>
          <w:rFonts w:ascii="Cambria" w:cs="Cambria" w:eastAsia="Cambria" w:hAnsi="Cambria"/>
          <w:b/>
          <w:bCs/>
          <w:color w:val="1A1A1A"/>
          <w:sz w:val="20"/>
          <w:szCs w:val="20"/>
        </w:rPr>
        <w:t xml:space="preserve">Martial Arts — </w:t>
      </w:r>
      <w:r>
        <w:rPr>
          <w:rFonts w:ascii="Cambria" w:cs="Cambria" w:eastAsia="Cambria" w:hAnsi="Cambria"/>
          <w:color w:val="1A1A1A"/>
          <w:sz w:val="20"/>
          <w:szCs w:val="20"/>
        </w:rPr>
        <w:t xml:space="preserve">Jeet Kune Do (Fist of Interception Institute), Level 3 student under Vincent Benitez</w:t>
      </w:r>
    </w:p>
    <w:sectPr>
      <w:pgSz w:w="12240" w:h="15840" w:orient="portrait"/>
      <w:pgMar w:top="1224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90"/>
      </w:pPr>
      <w:rPr>
        <w:rFonts w:ascii="Cambria" w:cs="Cambria" w:eastAsia="Cambria" w:hAnsi="Cambria"/>
        <w:color w:val="626262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2026-08-14T04:29:15.302Z</dcterms:created>
  <dcterms:modified xsi:type="dcterms:W3CDTF">2026-08-14T04:29:15.302Z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