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76"/>
      </w:pPr>
      <w:r>
        <w:rPr>
          <w:rFonts w:ascii="Arial" w:cs="Arial" w:eastAsia="Arial" w:hAnsi="Arial"/>
          <w:b/>
          <w:bCs/>
          <w:color w:val="0B7A3B"/>
          <w:sz w:val="20"/>
          <w:szCs w:val="20"/>
        </w:rPr>
        <w:t xml:space="preserve">AETHER</w:t>
      </w:r>
    </w:p>
    <w:p>
      <w:pPr>
        <w:spacing w:after="80" w:before="0" w:line="276"/>
      </w:pPr>
      <w:r>
        <w:rPr>
          <w:rFonts w:ascii="Arial" w:cs="Arial" w:eastAsia="Arial" w:hAnsi="Arial"/>
          <w:b/>
          <w:bCs/>
          <w:color w:val="0F1F17"/>
          <w:sz w:val="44"/>
          <w:szCs w:val="44"/>
        </w:rPr>
        <w:t xml:space="preserve">Autonomous Workforce Operating System</w:t>
      </w:r>
    </w:p>
    <w:p>
      <w:pPr>
        <w:spacing w:after="240" w:before="0" w:line="276"/>
      </w:pPr>
      <w:r>
        <w:rPr>
          <w:rFonts w:ascii="Arial" w:cs="Arial" w:eastAsia="Arial" w:hAnsi="Arial"/>
          <w:i/>
          <w:iCs/>
          <w:color w:val="555555"/>
          <w:sz w:val="28"/>
          <w:szCs w:val="28"/>
        </w:rPr>
        <w:t xml:space="preserve">Payroll that runs itself.</w:t>
      </w:r>
    </w:p>
    <w:p>
      <w:pPr>
        <w:spacing w:after="320" w:before="0" w:line="276"/>
      </w:pPr>
      <w:r>
        <w:rPr>
          <w:rFonts w:ascii="Arial" w:cs="Arial" w:eastAsia="Arial" w:hAnsi="Arial"/>
          <w:color w:val="555555"/>
          <w:sz w:val="20"/>
          <w:szCs w:val="20"/>
        </w:rPr>
        <w:t xml:space="preserve">Concept operating plan. This is a build-out of a product thesis — not a live company, not a solicitation, and not a claim of existing customers, certifications, or filings.</w:t>
      </w:r>
    </w:p>
    <w:p>
      <w:pPr>
        <w:pStyle w:val="Heading1"/>
        <w:pBdr>
          <w:bottom w:val="single" w:color="0B7A3B" w:sz="12" w:space="8"/>
        </w:pBdr>
        <w:spacing w:after="200" w:before="360"/>
      </w:pPr>
      <w:r>
        <w:rPr>
          <w:rFonts w:ascii="Arial" w:cs="Arial" w:eastAsia="Arial" w:hAnsi="Arial"/>
          <w:b/>
          <w:bCs/>
          <w:color w:val="0F1F17"/>
          <w:sz w:val="32"/>
          <w:szCs w:val="32"/>
        </w:rPr>
        <w:t xml:space="preserve">1. The argument in one page</w:t>
      </w:r>
    </w:p>
    <w:p>
      <w:pPr>
        <w:spacing w:after="160" w:before="0" w:line="276"/>
      </w:pPr>
      <w:r>
        <w:rPr>
          <w:rFonts w:ascii="Arial" w:cs="Arial" w:eastAsia="Arial" w:hAnsi="Arial"/>
          <w:color w:val="222222"/>
          <w:sz w:val="22"/>
          <w:szCs w:val="22"/>
        </w:rPr>
        <w:t xml:space="preserve">Most payroll startups fail because they build a better payroll engine. ADP, Paychex, Gusto, Rippling, Workday, OnPay, and newer AI-native players such as Warp already handle the mechanics of paying people reasonably well. The market does not have a calculation shortage. It has an outcomes shortage.</w:t>
      </w:r>
    </w:p>
    <w:p>
      <w:pPr>
        <w:spacing w:after="160" w:before="0" w:line="276"/>
      </w:pPr>
      <w:r>
        <w:rPr>
          <w:rFonts w:ascii="Arial" w:cs="Arial" w:eastAsia="Arial" w:hAnsi="Arial"/>
          <w:color w:val="222222"/>
          <w:sz w:val="22"/>
          <w:szCs w:val="22"/>
        </w:rPr>
        <w:t xml:space="preserve">Employers do not wake up wanting a new payroll vendor. They wake up wanting to save money, stop losing people, see next quarter’s labor cost, and stop babysitting compliance. Aether is positioned as an AI Workforce Operating System. Payroll processing becomes almost invisible. The platform runs the work around payroll: anomalies, tax credits, earned wages, benefits choices, hiring signals, and a single Workforce Health Score a CEO can read in ten seconds.</w:t>
      </w:r>
    </w:p>
    <w:p>
      <w:pPr>
        <w:spacing w:after="160" w:before="0" w:line="276"/>
      </w:pPr>
      <w:r>
        <w:rPr>
          <w:rFonts w:ascii="Arial" w:cs="Arial" w:eastAsia="Arial" w:hAnsi="Arial"/>
          <w:color w:val="222222"/>
          <w:sz w:val="22"/>
          <w:szCs w:val="22"/>
        </w:rPr>
        <w:t xml:space="preserve">The first bundle is deliberate and narrow: payroll + AI compliance + earned wage access + tax-savings discovery + workforce analytics. That combination pays for itself, creates employee pull, and is hard for a horizontal HCM suite to copy as a coherent vertical product.</w:t>
      </w:r>
    </w:p>
    <w:p>
      <w:pPr>
        <w:pStyle w:val="Heading1"/>
        <w:pBdr>
          <w:bottom w:val="single" w:color="0B7A3B" w:sz="12" w:space="8"/>
        </w:pBdr>
        <w:spacing w:after="200" w:before="360"/>
      </w:pPr>
      <w:r>
        <w:rPr>
          <w:rFonts w:ascii="Arial" w:cs="Arial" w:eastAsia="Arial" w:hAnsi="Arial"/>
          <w:b/>
          <w:bCs/>
          <w:color w:val="0F1F17"/>
          <w:sz w:val="32"/>
          <w:szCs w:val="32"/>
        </w:rPr>
        <w:t xml:space="preserve">2. Market reality, not a TAM slide</w:t>
      </w:r>
    </w:p>
    <w:p>
      <w:pPr>
        <w:pStyle w:val="Heading2"/>
        <w:spacing w:after="140" w:before="280"/>
      </w:pPr>
      <w:r>
        <w:rPr>
          <w:rFonts w:ascii="Arial" w:cs="Arial" w:eastAsia="Arial" w:hAnsi="Arial"/>
          <w:b/>
          <w:bCs/>
          <w:color w:val="0B7A3B"/>
          <w:sz w:val="26"/>
          <w:szCs w:val="26"/>
        </w:rPr>
        <w:t xml:space="preserve">What the numbers actually say</w:t>
      </w:r>
    </w:p>
    <w:p>
      <w:pPr>
        <w:spacing w:after="160" w:before="0" w:line="276"/>
      </w:pPr>
      <w:r>
        <w:rPr>
          <w:rFonts w:ascii="Arial" w:cs="Arial" w:eastAsia="Arial" w:hAnsi="Arial"/>
          <w:color w:val="222222"/>
          <w:sz w:val="22"/>
          <w:szCs w:val="22"/>
        </w:rPr>
        <w:t xml:space="preserve">US HR &amp; payroll software is about $16 billion in 2026 (IBISWorld). US payroll services are a separate, overlapping pool in the high single-digit billions depending on definition, growing mid-single digits. Employer-sponsored earned wage access is the fast pool: roughly $4.5B in 2025 to $5.9B in 2026, with forecasts that put the category in the mid-teens of billions by 2030 if regulation does not clip it. Global EWA / on-demand pay estimates vary wildly ($7–9B in 2025 depending on the analyst). Treat the direction as real and the point estimates as marketing.</w:t>
      </w:r>
    </w:p>
    <w:p>
      <w:pPr>
        <w:spacing w:after="160" w:before="0" w:line="276"/>
      </w:pPr>
      <w:r>
        <w:rPr>
          <w:rFonts w:ascii="Arial" w:cs="Arial" w:eastAsia="Arial" w:hAnsi="Arial"/>
          <w:color w:val="222222"/>
          <w:sz w:val="22"/>
          <w:szCs w:val="22"/>
        </w:rPr>
        <w:t xml:space="preserve">The incumbent stack is not theoretical. ADP processed on the order of $20B+ revenue in FY2025 with hundreds of thousands of clients. Paychex is a mid-single-digit billion business and absorbed Paycor. Gusto is near $1B ARR. Rippling is growing fast off a unified employee record. DailyPay claims thousands of employers and millions of employees on EWA. Warp raised $60M in 2026 to automate payroll, compliance, HR, and IT with agents, mostly for tech companies. Anyone who writes “nobody is doing AI payroll” is not paying attention.</w:t>
      </w:r>
    </w:p>
    <w:p>
      <w:pPr>
        <w:pStyle w:val="Heading2"/>
        <w:spacing w:after="140" w:before="280"/>
      </w:pPr>
      <w:r>
        <w:rPr>
          <w:rFonts w:ascii="Arial" w:cs="Arial" w:eastAsia="Arial" w:hAnsi="Arial"/>
          <w:b/>
          <w:bCs/>
          <w:color w:val="0B7A3B"/>
          <w:sz w:val="26"/>
          <w:szCs w:val="26"/>
        </w:rPr>
        <w:t xml:space="preserve">Where the hole still is</w:t>
      </w:r>
    </w:p>
    <w:p>
      <w:pPr>
        <w:pStyle w:val="ListParagraph"/>
        <w:numPr>
          <w:ilvl w:val="0"/>
          <w:numId w:val="2"/>
        </w:numPr>
        <w:spacing w:after="80" w:line="276"/>
      </w:pPr>
      <w:r>
        <w:rPr>
          <w:rFonts w:ascii="Arial" w:cs="Arial" w:eastAsia="Arial" w:hAnsi="Arial"/>
          <w:color w:val="222222"/>
          <w:sz w:val="22"/>
          <w:szCs w:val="22"/>
        </w:rPr>
        <w:t xml:space="preserve">Horizontal suites optimize for the employee record. They do not optimize for labor-cost decisions in construction, home care, or a 12-unit franchise.</w:t>
      </w:r>
    </w:p>
    <w:p>
      <w:pPr>
        <w:pStyle w:val="ListParagraph"/>
        <w:numPr>
          <w:ilvl w:val="0"/>
          <w:numId w:val="2"/>
        </w:numPr>
        <w:spacing w:after="80" w:line="276"/>
      </w:pPr>
      <w:r>
        <w:rPr>
          <w:rFonts w:ascii="Arial" w:cs="Arial" w:eastAsia="Arial" w:hAnsi="Arial"/>
          <w:color w:val="222222"/>
          <w:sz w:val="22"/>
          <w:szCs w:val="22"/>
        </w:rPr>
        <w:t xml:space="preserve">Copilots are being bolted onto existing UIs. They are not running the pay cycle.</w:t>
      </w:r>
    </w:p>
    <w:p>
      <w:pPr>
        <w:pStyle w:val="ListParagraph"/>
        <w:numPr>
          <w:ilvl w:val="0"/>
          <w:numId w:val="2"/>
        </w:numPr>
        <w:spacing w:after="80" w:line="276"/>
      </w:pPr>
      <w:r>
        <w:rPr>
          <w:rFonts w:ascii="Arial" w:cs="Arial" w:eastAsia="Arial" w:hAnsi="Arial"/>
          <w:color w:val="222222"/>
          <w:sz w:val="22"/>
          <w:szCs w:val="22"/>
        </w:rPr>
        <w:t xml:space="preserve">EWA is usually a partner overlay with consumer-fee economics. It is rarely an employer-funded liquidity product tied to cash-flow forecasting.</w:t>
      </w:r>
    </w:p>
    <w:p>
      <w:pPr>
        <w:pStyle w:val="ListParagraph"/>
        <w:numPr>
          <w:ilvl w:val="0"/>
          <w:numId w:val="2"/>
        </w:numPr>
        <w:spacing w:after="80" w:line="276"/>
      </w:pPr>
      <w:r>
        <w:rPr>
          <w:rFonts w:ascii="Arial" w:cs="Arial" w:eastAsia="Arial" w:hAnsi="Arial"/>
          <w:color w:val="222222"/>
          <w:sz w:val="22"/>
          <w:szCs w:val="22"/>
        </w:rPr>
        <w:t xml:space="preserve">Tax-credit discovery is a cottage industry of consultants. It is almost never inside the payroll run.</w:t>
      </w:r>
    </w:p>
    <w:p>
      <w:pPr>
        <w:pStyle w:val="ListParagraph"/>
        <w:numPr>
          <w:ilvl w:val="0"/>
          <w:numId w:val="2"/>
        </w:numPr>
        <w:spacing w:after="80" w:line="276"/>
      </w:pPr>
      <w:r>
        <w:rPr>
          <w:rFonts w:ascii="Arial" w:cs="Arial" w:eastAsia="Arial" w:hAnsi="Arial"/>
          <w:color w:val="222222"/>
          <w:sz w:val="22"/>
          <w:szCs w:val="22"/>
        </w:rPr>
        <w:t xml:space="preserve">The 50–500 employee band is large enough to feel enterprise pain and small enough to switch in a quarter. That is the only beachhead that matters in year one.</w:t>
      </w:r>
    </w:p>
    <w:p>
      <w:pPr>
        <w:pStyle w:val="Heading1"/>
        <w:pBdr>
          <w:bottom w:val="single" w:color="0B7A3B" w:sz="12" w:space="8"/>
        </w:pBdr>
        <w:spacing w:after="200" w:before="360"/>
      </w:pPr>
      <w:r>
        <w:rPr>
          <w:rFonts w:ascii="Arial" w:cs="Arial" w:eastAsia="Arial" w:hAnsi="Arial"/>
          <w:b/>
          <w:bCs/>
          <w:color w:val="0F1F17"/>
          <w:sz w:val="32"/>
          <w:szCs w:val="32"/>
        </w:rPr>
        <w:t xml:space="preserve">3. Positioning</w:t>
      </w:r>
    </w:p>
    <w:p>
      <w:pPr>
        <w:pStyle w:val="Heading2"/>
        <w:spacing w:after="140" w:before="280"/>
      </w:pPr>
      <w:r>
        <w:rPr>
          <w:rFonts w:ascii="Arial" w:cs="Arial" w:eastAsia="Arial" w:hAnsi="Arial"/>
          <w:b/>
          <w:bCs/>
          <w:color w:val="0B7A3B"/>
          <w:sz w:val="26"/>
          <w:szCs w:val="26"/>
        </w:rPr>
        <w:t xml:space="preserve">Category</w:t>
      </w:r>
    </w:p>
    <w:p>
      <w:pPr>
        <w:spacing w:after="160" w:before="0" w:line="276"/>
      </w:pPr>
      <w:r>
        <w:rPr>
          <w:rFonts w:ascii="Arial" w:cs="Arial" w:eastAsia="Arial" w:hAnsi="Arial"/>
          <w:color w:val="222222"/>
          <w:sz w:val="22"/>
          <w:szCs w:val="22"/>
        </w:rPr>
        <w:t xml:space="preserve">Autonomous Workforce Operations. Not HCM. Not “modern payroll.” Not a PEO.</w:t>
      </w:r>
    </w:p>
    <w:p>
      <w:pPr>
        <w:pStyle w:val="Heading2"/>
        <w:spacing w:after="140" w:before="280"/>
      </w:pPr>
      <w:r>
        <w:rPr>
          <w:rFonts w:ascii="Arial" w:cs="Arial" w:eastAsia="Arial" w:hAnsi="Arial"/>
          <w:b/>
          <w:bCs/>
          <w:color w:val="0B7A3B"/>
          <w:sz w:val="26"/>
          <w:szCs w:val="26"/>
        </w:rPr>
        <w:t xml:space="preserve">Tagline</w:t>
      </w:r>
    </w:p>
    <w:p>
      <w:pPr>
        <w:spacing w:after="160" w:before="0" w:line="276"/>
      </w:pPr>
      <w:r>
        <w:rPr>
          <w:rFonts w:ascii="Arial" w:cs="Arial" w:eastAsia="Arial" w:hAnsi="Arial"/>
          <w:color w:val="222222"/>
          <w:sz w:val="22"/>
          <w:szCs w:val="22"/>
        </w:rPr>
        <w:t xml:space="preserve">Payroll that runs itself.</w:t>
      </w:r>
    </w:p>
    <w:p>
      <w:pPr>
        <w:pStyle w:val="Heading2"/>
        <w:spacing w:after="140" w:before="280"/>
      </w:pPr>
      <w:r>
        <w:rPr>
          <w:rFonts w:ascii="Arial" w:cs="Arial" w:eastAsia="Arial" w:hAnsi="Arial"/>
          <w:b/>
          <w:bCs/>
          <w:color w:val="0B7A3B"/>
          <w:sz w:val="26"/>
          <w:szCs w:val="26"/>
        </w:rPr>
        <w:t xml:space="preserve">One-sentence pitch</w:t>
      </w:r>
    </w:p>
    <w:p>
      <w:pPr>
        <w:spacing w:after="160" w:before="0" w:line="276"/>
      </w:pPr>
      <w:r>
        <w:rPr>
          <w:rFonts w:ascii="Arial" w:cs="Arial" w:eastAsia="Arial" w:hAnsi="Arial"/>
          <w:color w:val="222222"/>
          <w:sz w:val="22"/>
          <w:szCs w:val="22"/>
        </w:rPr>
        <w:t xml:space="preserve">Aether is the AI operating system that pays your people, flags the mistakes before money moves, finds the tax credits you are leaving on the table, and tells you what your workforce will cost next quarter.</w:t>
      </w:r>
    </w:p>
    <w:p>
      <w:pPr>
        <w:pStyle w:val="Heading2"/>
        <w:spacing w:after="140" w:before="280"/>
      </w:pPr>
      <w:r>
        <w:rPr>
          <w:rFonts w:ascii="Arial" w:cs="Arial" w:eastAsia="Arial" w:hAnsi="Arial"/>
          <w:b/>
          <w:bCs/>
          <w:color w:val="0B7A3B"/>
          <w:sz w:val="26"/>
          <w:szCs w:val="26"/>
        </w:rPr>
        <w:t xml:space="preserve">What we are not</w:t>
      </w:r>
    </w:p>
    <w:p>
      <w:pPr>
        <w:pStyle w:val="ListParagraph"/>
        <w:numPr>
          <w:ilvl w:val="0"/>
          <w:numId w:val="2"/>
        </w:numPr>
        <w:spacing w:after="80" w:line="276"/>
      </w:pPr>
      <w:r>
        <w:rPr>
          <w:rFonts w:ascii="Arial" w:cs="Arial" w:eastAsia="Arial" w:hAnsi="Arial"/>
          <w:color w:val="222222"/>
          <w:sz w:val="22"/>
          <w:szCs w:val="22"/>
        </w:rPr>
        <w:t xml:space="preserve">Not a generalist HRIS trying to beat Rippling on device management.</w:t>
      </w:r>
    </w:p>
    <w:p>
      <w:pPr>
        <w:pStyle w:val="ListParagraph"/>
        <w:numPr>
          <w:ilvl w:val="0"/>
          <w:numId w:val="2"/>
        </w:numPr>
        <w:spacing w:after="80" w:line="276"/>
      </w:pPr>
      <w:r>
        <w:rPr>
          <w:rFonts w:ascii="Arial" w:cs="Arial" w:eastAsia="Arial" w:hAnsi="Arial"/>
          <w:color w:val="222222"/>
          <w:sz w:val="22"/>
          <w:szCs w:val="22"/>
        </w:rPr>
        <w:t xml:space="preserve">Not an EOR / global payroll company trying to beat Remote or Deel.</w:t>
      </w:r>
    </w:p>
    <w:p>
      <w:pPr>
        <w:pStyle w:val="ListParagraph"/>
        <w:numPr>
          <w:ilvl w:val="0"/>
          <w:numId w:val="2"/>
        </w:numPr>
        <w:spacing w:after="80" w:line="276"/>
      </w:pPr>
      <w:r>
        <w:rPr>
          <w:rFonts w:ascii="Arial" w:cs="Arial" w:eastAsia="Arial" w:hAnsi="Arial"/>
          <w:color w:val="222222"/>
          <w:sz w:val="22"/>
          <w:szCs w:val="22"/>
        </w:rPr>
        <w:t xml:space="preserve">Not a payday lender wearing a benefits badge.</w:t>
      </w:r>
    </w:p>
    <w:p>
      <w:pPr>
        <w:pStyle w:val="ListParagraph"/>
        <w:numPr>
          <w:ilvl w:val="0"/>
          <w:numId w:val="2"/>
        </w:numPr>
        <w:spacing w:after="80" w:line="276"/>
      </w:pPr>
      <w:r>
        <w:rPr>
          <w:rFonts w:ascii="Arial" w:cs="Arial" w:eastAsia="Arial" w:hAnsi="Arial"/>
          <w:color w:val="222222"/>
          <w:sz w:val="22"/>
          <w:szCs w:val="22"/>
        </w:rPr>
        <w:t xml:space="preserve">Not an enterprise displacement play against ADP Workforce Now or Workday.</w:t>
      </w:r>
    </w:p>
    <w:p>
      <w:pPr>
        <w:pStyle w:val="Heading1"/>
        <w:pBdr>
          <w:bottom w:val="single" w:color="0B7A3B" w:sz="12" w:space="8"/>
        </w:pBdr>
        <w:spacing w:after="200" w:before="360"/>
      </w:pPr>
      <w:r>
        <w:rPr>
          <w:rFonts w:ascii="Arial" w:cs="Arial" w:eastAsia="Arial" w:hAnsi="Arial"/>
          <w:b/>
          <w:bCs/>
          <w:color w:val="0F1F17"/>
          <w:sz w:val="32"/>
          <w:szCs w:val="32"/>
        </w:rPr>
        <w:t xml:space="preserve">4. Ideal customer</w:t>
      </w:r>
    </w:p>
    <w:p>
      <w:pPr>
        <w:pStyle w:val="Heading2"/>
        <w:spacing w:after="140" w:before="280"/>
      </w:pPr>
      <w:r>
        <w:rPr>
          <w:rFonts w:ascii="Arial" w:cs="Arial" w:eastAsia="Arial" w:hAnsi="Arial"/>
          <w:b/>
          <w:bCs/>
          <w:color w:val="0B7A3B"/>
          <w:sz w:val="26"/>
          <w:szCs w:val="26"/>
        </w:rPr>
        <w:t xml:space="preserve">Firmographic</w:t>
      </w:r>
    </w:p>
    <w:p>
      <w:pPr>
        <w:pStyle w:val="ListParagraph"/>
        <w:numPr>
          <w:ilvl w:val="0"/>
          <w:numId w:val="2"/>
        </w:numPr>
        <w:spacing w:after="80" w:line="276"/>
      </w:pPr>
      <w:r>
        <w:rPr>
          <w:rFonts w:ascii="Arial" w:cs="Arial" w:eastAsia="Arial" w:hAnsi="Arial"/>
          <w:color w:val="222222"/>
          <w:sz w:val="22"/>
          <w:szCs w:val="22"/>
        </w:rPr>
        <w:t xml:space="preserve">50–500 W-2 employees. Sweet spot 80–250.</w:t>
      </w:r>
    </w:p>
    <w:p>
      <w:pPr>
        <w:pStyle w:val="ListParagraph"/>
        <w:numPr>
          <w:ilvl w:val="0"/>
          <w:numId w:val="2"/>
        </w:numPr>
        <w:spacing w:after="80" w:line="276"/>
      </w:pPr>
      <w:r>
        <w:rPr>
          <w:rFonts w:ascii="Arial" w:cs="Arial" w:eastAsia="Arial" w:hAnsi="Arial"/>
          <w:color w:val="222222"/>
          <w:sz w:val="22"/>
          <w:szCs w:val="22"/>
        </w:rPr>
        <w:t xml:space="preserve">Multi-site or multi-state, or about to be.</w:t>
      </w:r>
    </w:p>
    <w:p>
      <w:pPr>
        <w:pStyle w:val="ListParagraph"/>
        <w:numPr>
          <w:ilvl w:val="0"/>
          <w:numId w:val="2"/>
        </w:numPr>
        <w:spacing w:after="80" w:line="276"/>
      </w:pPr>
      <w:r>
        <w:rPr>
          <w:rFonts w:ascii="Arial" w:cs="Arial" w:eastAsia="Arial" w:hAnsi="Arial"/>
          <w:color w:val="222222"/>
          <w:sz w:val="22"/>
          <w:szCs w:val="22"/>
        </w:rPr>
        <w:t xml:space="preserve">Hourly-heavy. Overtime, differentials, tips, prevailing wage, or per-diem actually happen.</w:t>
      </w:r>
    </w:p>
    <w:p>
      <w:pPr>
        <w:pStyle w:val="ListParagraph"/>
        <w:numPr>
          <w:ilvl w:val="0"/>
          <w:numId w:val="2"/>
        </w:numPr>
        <w:spacing w:after="80" w:line="276"/>
      </w:pPr>
      <w:r>
        <w:rPr>
          <w:rFonts w:ascii="Arial" w:cs="Arial" w:eastAsia="Arial" w:hAnsi="Arial"/>
          <w:color w:val="222222"/>
          <w:sz w:val="22"/>
          <w:szCs w:val="22"/>
        </w:rPr>
        <w:t xml:space="preserve">Owner-operated, independent sponsor-backed, or multi-unit franchise. A named operator who feels labor cost in their body.</w:t>
      </w:r>
    </w:p>
    <w:p>
      <w:pPr>
        <w:pStyle w:val="Heading2"/>
        <w:spacing w:after="140" w:before="280"/>
      </w:pPr>
      <w:r>
        <w:rPr>
          <w:rFonts w:ascii="Arial" w:cs="Arial" w:eastAsia="Arial" w:hAnsi="Arial"/>
          <w:b/>
          <w:bCs/>
          <w:color w:val="0B7A3B"/>
          <w:sz w:val="26"/>
          <w:szCs w:val="26"/>
        </w:rPr>
        <w:t xml:space="preserve">Verticals, in order</w:t>
      </w:r>
    </w:p>
    <w:p>
      <w:pPr>
        <w:spacing w:after="160" w:before="0" w:line="276"/>
      </w:pPr>
      <w:r>
        <w:rPr>
          <w:rFonts w:ascii="Arial" w:cs="Arial" w:eastAsia="Arial" w:hAnsi="Arial"/>
          <w:color w:val="222222"/>
          <w:sz w:val="22"/>
          <w:szCs w:val="22"/>
        </w:rPr>
        <w:t xml:space="preserve">Healthcare and home care. Construction and skilled trades. Light manufacturing. Logistics and warehousing. Multi-unit food and services franchises. These industries share messy time rules, chronic turnover, and a compliance surface area that generic SMB payroll treats as an edge case.</w:t>
      </w:r>
    </w:p>
    <w:p>
      <w:pPr>
        <w:pStyle w:val="Heading2"/>
        <w:spacing w:after="140" w:before="280"/>
      </w:pPr>
      <w:r>
        <w:rPr>
          <w:rFonts w:ascii="Arial" w:cs="Arial" w:eastAsia="Arial" w:hAnsi="Arial"/>
          <w:b/>
          <w:bCs/>
          <w:color w:val="0B7A3B"/>
          <w:sz w:val="26"/>
          <w:szCs w:val="26"/>
        </w:rPr>
        <w:t xml:space="preserve">Buyer and user</w:t>
      </w:r>
    </w:p>
    <w:p>
      <w:pPr>
        <w:pStyle w:val="ListParagraph"/>
        <w:numPr>
          <w:ilvl w:val="0"/>
          <w:numId w:val="2"/>
        </w:numPr>
        <w:spacing w:after="80" w:line="276"/>
      </w:pPr>
      <w:r>
        <w:rPr>
          <w:rFonts w:ascii="Arial" w:cs="Arial" w:eastAsia="Arial" w:hAnsi="Arial"/>
          <w:color w:val="222222"/>
          <w:sz w:val="22"/>
          <w:szCs w:val="22"/>
        </w:rPr>
        <w:t xml:space="preserve">Economic buyer: owner, president, or CFO.</w:t>
      </w:r>
    </w:p>
    <w:p>
      <w:pPr>
        <w:pStyle w:val="ListParagraph"/>
        <w:numPr>
          <w:ilvl w:val="0"/>
          <w:numId w:val="2"/>
        </w:numPr>
        <w:spacing w:after="80" w:line="276"/>
      </w:pPr>
      <w:r>
        <w:rPr>
          <w:rFonts w:ascii="Arial" w:cs="Arial" w:eastAsia="Arial" w:hAnsi="Arial"/>
          <w:color w:val="222222"/>
          <w:sz w:val="22"/>
          <w:szCs w:val="22"/>
        </w:rPr>
        <w:t xml:space="preserve">Daily user: office manager / payroll admin who should spend an hour a cycle, not a day.</w:t>
      </w:r>
    </w:p>
    <w:p>
      <w:pPr>
        <w:pStyle w:val="ListParagraph"/>
        <w:numPr>
          <w:ilvl w:val="0"/>
          <w:numId w:val="2"/>
        </w:numPr>
        <w:spacing w:after="80" w:line="276"/>
      </w:pPr>
      <w:r>
        <w:rPr>
          <w:rFonts w:ascii="Arial" w:cs="Arial" w:eastAsia="Arial" w:hAnsi="Arial"/>
          <w:color w:val="222222"/>
          <w:sz w:val="22"/>
          <w:szCs w:val="22"/>
        </w:rPr>
        <w:t xml:space="preserve">Silent champion: the employees who get earned wages and a coach that knows their actual pay.</w:t>
      </w:r>
    </w:p>
    <w:p>
      <w:pPr>
        <w:pStyle w:val="Heading2"/>
        <w:spacing w:after="140" w:before="280"/>
      </w:pPr>
      <w:r>
        <w:rPr>
          <w:rFonts w:ascii="Arial" w:cs="Arial" w:eastAsia="Arial" w:hAnsi="Arial"/>
          <w:b/>
          <w:bCs/>
          <w:color w:val="0B7A3B"/>
          <w:sz w:val="26"/>
          <w:szCs w:val="26"/>
        </w:rPr>
        <w:t xml:space="preserve">Do not sell first</w:t>
      </w:r>
    </w:p>
    <w:p>
      <w:pPr>
        <w:pStyle w:val="ListParagraph"/>
        <w:numPr>
          <w:ilvl w:val="0"/>
          <w:numId w:val="2"/>
        </w:numPr>
        <w:spacing w:after="80" w:line="276"/>
      </w:pPr>
      <w:r>
        <w:rPr>
          <w:rFonts w:ascii="Arial" w:cs="Arial" w:eastAsia="Arial" w:hAnsi="Arial"/>
          <w:color w:val="222222"/>
          <w:sz w:val="22"/>
          <w:szCs w:val="22"/>
        </w:rPr>
        <w:t xml:space="preserve">Sub-20 startups. Gusto gravity plus simple single-state payroll.</w:t>
      </w:r>
    </w:p>
    <w:p>
      <w:pPr>
        <w:pStyle w:val="ListParagraph"/>
        <w:numPr>
          <w:ilvl w:val="0"/>
          <w:numId w:val="2"/>
        </w:numPr>
        <w:spacing w:after="80" w:line="276"/>
      </w:pPr>
      <w:r>
        <w:rPr>
          <w:rFonts w:ascii="Arial" w:cs="Arial" w:eastAsia="Arial" w:hAnsi="Arial"/>
          <w:color w:val="222222"/>
          <w:sz w:val="22"/>
          <w:szCs w:val="22"/>
        </w:rPr>
        <w:t xml:space="preserve">Pure salaried professional services with one state and no OT complexity. The pain is too thin.</w:t>
      </w:r>
    </w:p>
    <w:p>
      <w:pPr>
        <w:pStyle w:val="ListParagraph"/>
        <w:numPr>
          <w:ilvl w:val="0"/>
          <w:numId w:val="2"/>
        </w:numPr>
        <w:spacing w:after="80" w:line="276"/>
      </w:pPr>
      <w:r>
        <w:rPr>
          <w:rFonts w:ascii="Arial" w:cs="Arial" w:eastAsia="Arial" w:hAnsi="Arial"/>
          <w:color w:val="222222"/>
          <w:sz w:val="22"/>
          <w:szCs w:val="22"/>
        </w:rPr>
        <w:t xml:space="preserve">Public enterprise with a three-year Workday program. Partner later; do not pretend.</w:t>
      </w:r>
    </w:p>
    <w:p>
      <w:pPr>
        <w:pStyle w:val="Heading1"/>
        <w:pBdr>
          <w:bottom w:val="single" w:color="0B7A3B" w:sz="12" w:space="8"/>
        </w:pBdr>
        <w:spacing w:after="200" w:before="360"/>
      </w:pPr>
      <w:r>
        <w:rPr>
          <w:rFonts w:ascii="Arial" w:cs="Arial" w:eastAsia="Arial" w:hAnsi="Arial"/>
          <w:b/>
          <w:bCs/>
          <w:color w:val="0F1F17"/>
          <w:sz w:val="32"/>
          <w:szCs w:val="32"/>
        </w:rPr>
        <w:t xml:space="preserve">5. Product system</w:t>
      </w:r>
    </w:p>
    <w:p>
      <w:pPr>
        <w:spacing w:after="160" w:before="0" w:line="276"/>
      </w:pPr>
      <w:r>
        <w:rPr>
          <w:rFonts w:ascii="Arial" w:cs="Arial" w:eastAsia="Arial" w:hAnsi="Arial"/>
          <w:color w:val="222222"/>
          <w:sz w:val="22"/>
          <w:szCs w:val="22"/>
        </w:rPr>
        <w:t xml:space="preserve">Ten modules. Only the first four ship in version one. The rest exist so the company knows what it is becoming.</w:t>
      </w:r>
    </w:p>
    <w:p>
      <w:pPr>
        <w:pStyle w:val="Heading2"/>
        <w:spacing w:after="140" w:before="280"/>
      </w:pPr>
      <w:r>
        <w:rPr>
          <w:rFonts w:ascii="Arial" w:cs="Arial" w:eastAsia="Arial" w:hAnsi="Arial"/>
          <w:b/>
          <w:bCs/>
          <w:color w:val="0B7A3B"/>
          <w:sz w:val="26"/>
          <w:szCs w:val="26"/>
        </w:rPr>
        <w:t xml:space="preserve">5.1 AI Payroll Copilot — v1</w:t>
      </w:r>
    </w:p>
    <w:p>
      <w:pPr>
        <w:spacing w:after="160" w:before="0" w:line="276"/>
      </w:pPr>
      <w:r>
        <w:rPr>
          <w:rFonts w:ascii="Arial" w:cs="Arial" w:eastAsia="Arial" w:hAnsi="Arial"/>
          <w:color w:val="222222"/>
          <w:sz w:val="22"/>
          <w:szCs w:val="22"/>
        </w:rPr>
        <w:t xml:space="preserve">Current systems still require a human to hunt for errors. Aether treats the pay run as an agent workflow with a human gate on money.</w:t>
      </w:r>
    </w:p>
    <w:p>
      <w:pPr>
        <w:pStyle w:val="ListParagraph"/>
        <w:numPr>
          <w:ilvl w:val="0"/>
          <w:numId w:val="2"/>
        </w:numPr>
        <w:spacing w:after="80" w:line="276"/>
      </w:pPr>
      <w:r>
        <w:rPr>
          <w:rFonts w:ascii="Arial" w:cs="Arial" w:eastAsia="Arial" w:hAnsi="Arial"/>
          <w:color w:val="222222"/>
          <w:sz w:val="22"/>
          <w:szCs w:val="22"/>
        </w:rPr>
        <w:t xml:space="preserve">Ingest time, schedules, prior runs, job codes, and jurisdiction.</w:t>
      </w:r>
    </w:p>
    <w:p>
      <w:pPr>
        <w:pStyle w:val="ListParagraph"/>
        <w:numPr>
          <w:ilvl w:val="0"/>
          <w:numId w:val="2"/>
        </w:numPr>
        <w:spacing w:after="80" w:line="276"/>
      </w:pPr>
      <w:r>
        <w:rPr>
          <w:rFonts w:ascii="Arial" w:cs="Arial" w:eastAsia="Arial" w:hAnsi="Arial"/>
          <w:color w:val="222222"/>
          <w:sz w:val="22"/>
          <w:szCs w:val="22"/>
        </w:rPr>
        <w:t xml:space="preserve">Score every line against that person’s history and the crew’s history.</w:t>
      </w:r>
    </w:p>
    <w:p>
      <w:pPr>
        <w:pStyle w:val="ListParagraph"/>
        <w:numPr>
          <w:ilvl w:val="0"/>
          <w:numId w:val="2"/>
        </w:numPr>
        <w:spacing w:after="80" w:line="276"/>
      </w:pPr>
      <w:r>
        <w:rPr>
          <w:rFonts w:ascii="Arial" w:cs="Arial" w:eastAsia="Arial" w:hAnsi="Arial"/>
          <w:color w:val="222222"/>
          <w:sz w:val="22"/>
          <w:szCs w:val="22"/>
        </w:rPr>
        <w:t xml:space="preserve">Surface a queue of exceptions in plain language, with a recommended action.</w:t>
      </w:r>
    </w:p>
    <w:p>
      <w:pPr>
        <w:pStyle w:val="ListParagraph"/>
        <w:numPr>
          <w:ilvl w:val="0"/>
          <w:numId w:val="2"/>
        </w:numPr>
        <w:spacing w:after="80" w:line="276"/>
      </w:pPr>
      <w:r>
        <w:rPr>
          <w:rFonts w:ascii="Arial" w:cs="Arial" w:eastAsia="Arial" w:hAnsi="Arial"/>
          <w:color w:val="222222"/>
          <w:sz w:val="22"/>
          <w:szCs w:val="22"/>
        </w:rPr>
        <w:t xml:space="preserve">Never auto-push a correction that changes net pay without an approval.</w:t>
      </w:r>
    </w:p>
    <w:p>
      <w:pPr>
        <w:spacing w:after="160" w:before="0" w:line="276"/>
      </w:pPr>
      <w:r>
        <w:rPr>
          <w:rFonts w:ascii="Arial" w:cs="Arial" w:eastAsia="Arial" w:hAnsi="Arial"/>
          <w:color w:val="222222"/>
          <w:sz w:val="22"/>
          <w:szCs w:val="22"/>
        </w:rPr>
        <w:t xml:space="preserve">Example: “Maria’s overtime is 42% above her 12-week baseline. The Saturday shift looks like a clock-out miss against the posted schedule. Approve a correction to 8.0 hours regular, or keep as-is and note the reason.”</w:t>
      </w:r>
    </w:p>
    <w:p>
      <w:pPr>
        <w:spacing w:after="160" w:before="0" w:line="276"/>
      </w:pPr>
      <w:r>
        <w:rPr>
          <w:rFonts w:ascii="Arial" w:cs="Arial" w:eastAsia="Arial" w:hAnsi="Arial"/>
          <w:color w:val="222222"/>
          <w:sz w:val="22"/>
          <w:szCs w:val="22"/>
        </w:rPr>
        <w:t xml:space="preserve">This is the hours-back-every-week feature. It is also the trust feature. If the copilot is wrong twice, the account is dead.</w:t>
      </w:r>
    </w:p>
    <w:p>
      <w:pPr>
        <w:pStyle w:val="Heading2"/>
        <w:spacing w:after="140" w:before="280"/>
      </w:pPr>
      <w:r>
        <w:rPr>
          <w:rFonts w:ascii="Arial" w:cs="Arial" w:eastAsia="Arial" w:hAnsi="Arial"/>
          <w:b/>
          <w:bCs/>
          <w:color w:val="0B7A3B"/>
          <w:sz w:val="26"/>
          <w:szCs w:val="26"/>
        </w:rPr>
        <w:t xml:space="preserve">5.2 Predictive labor-cost intelligence — v1</w:t>
      </w:r>
    </w:p>
    <w:p>
      <w:pPr>
        <w:spacing w:after="160" w:before="0" w:line="276"/>
      </w:pPr>
      <w:r>
        <w:rPr>
          <w:rFonts w:ascii="Arial" w:cs="Arial" w:eastAsia="Arial" w:hAnsi="Arial"/>
          <w:color w:val="222222"/>
          <w:sz w:val="22"/>
          <w:szCs w:val="22"/>
        </w:rPr>
        <w:t xml:space="preserve">Payroll systems are rear-view mirrors. The platform forecasts next payroll, quarterly employer tax, benefits run-rate, and annual labor under current headcount and under proposed hires.</w:t>
      </w:r>
    </w:p>
    <w:p>
      <w:pPr>
        <w:spacing w:after="160" w:before="0" w:line="276"/>
      </w:pPr>
      <w:r>
        <w:rPr>
          <w:rFonts w:ascii="Arial" w:cs="Arial" w:eastAsia="Arial" w:hAnsi="Arial"/>
          <w:color w:val="222222"/>
          <w:sz w:val="22"/>
          <w:szCs w:val="22"/>
        </w:rPr>
        <w:t xml:space="preserve">Dashboard sentence: “Hiring three additional technicians in Edison increases annual fully loaded labor by $247,000, including OT pattern and healthcare take-up.”</w:t>
      </w:r>
    </w:p>
    <w:p>
      <w:pPr>
        <w:spacing w:after="160" w:before="0" w:line="276"/>
      </w:pPr>
      <w:r>
        <w:rPr>
          <w:rFonts w:ascii="Arial" w:cs="Arial" w:eastAsia="Arial" w:hAnsi="Arial"/>
          <w:color w:val="222222"/>
          <w:sz w:val="22"/>
          <w:szCs w:val="22"/>
        </w:rPr>
        <w:t xml:space="preserve">The model is not magic. It is last-twelve-months run-rate, seasonality, open requisitions, scheduled wage changes, and known tax/benefit inflation. Accuracy beats poetry. Publish forecast-versus-actual every cycle so the CFO learns to trust it.</w:t>
      </w:r>
    </w:p>
    <w:p>
      <w:pPr>
        <w:pStyle w:val="Heading2"/>
        <w:spacing w:after="140" w:before="280"/>
      </w:pPr>
      <w:r>
        <w:rPr>
          <w:rFonts w:ascii="Arial" w:cs="Arial" w:eastAsia="Arial" w:hAnsi="Arial"/>
          <w:b/>
          <w:bCs/>
          <w:color w:val="0B7A3B"/>
          <w:sz w:val="26"/>
          <w:szCs w:val="26"/>
        </w:rPr>
        <w:t xml:space="preserve">5.3 On-demand pay without loans — v1</w:t>
      </w:r>
    </w:p>
    <w:p>
      <w:pPr>
        <w:spacing w:after="160" w:before="0" w:line="276"/>
      </w:pPr>
      <w:r>
        <w:rPr>
          <w:rFonts w:ascii="Arial" w:cs="Arial" w:eastAsia="Arial" w:hAnsi="Arial"/>
          <w:color w:val="222222"/>
          <w:sz w:val="22"/>
          <w:szCs w:val="22"/>
        </w:rPr>
        <w:t xml:space="preserve">Employees can move earned but unpaid wages before payday. The economic design is the product:</w:t>
      </w:r>
    </w:p>
    <w:p>
      <w:pPr>
        <w:pStyle w:val="ListParagraph"/>
        <w:numPr>
          <w:ilvl w:val="0"/>
          <w:numId w:val="2"/>
        </w:numPr>
        <w:spacing w:after="80" w:line="276"/>
      </w:pPr>
      <w:r>
        <w:rPr>
          <w:rFonts w:ascii="Arial" w:cs="Arial" w:eastAsia="Arial" w:hAnsi="Arial"/>
          <w:color w:val="222222"/>
          <w:sz w:val="22"/>
          <w:szCs w:val="22"/>
        </w:rPr>
        <w:t xml:space="preserve">Employer-funded or bank-partnered liquidity pool. Aether underwrites the employer’s cash cycle, not the worker’s FICO.</w:t>
      </w:r>
    </w:p>
    <w:p>
      <w:pPr>
        <w:pStyle w:val="ListParagraph"/>
        <w:numPr>
          <w:ilvl w:val="0"/>
          <w:numId w:val="2"/>
        </w:numPr>
        <w:spacing w:after="80" w:line="276"/>
      </w:pPr>
      <w:r>
        <w:rPr>
          <w:rFonts w:ascii="Arial" w:cs="Arial" w:eastAsia="Arial" w:hAnsi="Arial"/>
          <w:color w:val="222222"/>
          <w:sz w:val="22"/>
          <w:szCs w:val="22"/>
        </w:rPr>
        <w:t xml:space="preserve">AI cash-flow forecast caps the pool so the company cannot be drained the week before tax deposit.</w:t>
      </w:r>
    </w:p>
    <w:p>
      <w:pPr>
        <w:pStyle w:val="ListParagraph"/>
        <w:numPr>
          <w:ilvl w:val="0"/>
          <w:numId w:val="2"/>
        </w:numPr>
        <w:spacing w:after="80" w:line="276"/>
      </w:pPr>
      <w:r>
        <w:rPr>
          <w:rFonts w:ascii="Arial" w:cs="Arial" w:eastAsia="Arial" w:hAnsi="Arial"/>
          <w:color w:val="222222"/>
          <w:sz w:val="22"/>
          <w:szCs w:val="22"/>
        </w:rPr>
        <w:t xml:space="preserve">Fees below typical instant-pay consumer products. Free ACH in two days. Instant for a small flat fee the employer can choose to absorb.</w:t>
      </w:r>
    </w:p>
    <w:p>
      <w:pPr>
        <w:pStyle w:val="ListParagraph"/>
        <w:numPr>
          <w:ilvl w:val="0"/>
          <w:numId w:val="2"/>
        </w:numPr>
        <w:spacing w:after="80" w:line="276"/>
      </w:pPr>
      <w:r>
        <w:rPr>
          <w:rFonts w:ascii="Arial" w:cs="Arial" w:eastAsia="Arial" w:hAnsi="Arial"/>
          <w:color w:val="222222"/>
          <w:sz w:val="22"/>
          <w:szCs w:val="22"/>
        </w:rPr>
        <w:t xml:space="preserve">No rollover balance that looks like credit. No APR. No sale of worker debt.</w:t>
      </w:r>
    </w:p>
    <w:p>
      <w:pPr>
        <w:spacing w:after="160" w:before="0" w:line="276"/>
      </w:pPr>
      <w:r>
        <w:rPr>
          <w:rFonts w:ascii="Arial" w:cs="Arial" w:eastAsia="Arial" w:hAnsi="Arial"/>
          <w:color w:val="222222"/>
          <w:sz w:val="22"/>
          <w:szCs w:val="22"/>
        </w:rPr>
        <w:t xml:space="preserve">This is a recruiting and attendance benefit. It is also the consumer habit that makes employees lobby to stay on Aether. Regulatory posture: treat EWA as wage acceleration inside an employment relationship, stay inside the safest state statutes, and do not get cute.</w:t>
      </w:r>
    </w:p>
    <w:p>
      <w:pPr>
        <w:pStyle w:val="Heading2"/>
        <w:spacing w:after="140" w:before="280"/>
      </w:pPr>
      <w:r>
        <w:rPr>
          <w:rFonts w:ascii="Arial" w:cs="Arial" w:eastAsia="Arial" w:hAnsi="Arial"/>
          <w:b/>
          <w:bCs/>
          <w:color w:val="0B7A3B"/>
          <w:sz w:val="26"/>
          <w:szCs w:val="26"/>
        </w:rPr>
        <w:t xml:space="preserve">5.4 Automated compliance AI — v1</w:t>
      </w:r>
    </w:p>
    <w:p>
      <w:pPr>
        <w:spacing w:after="160" w:before="0" w:line="276"/>
      </w:pPr>
      <w:r>
        <w:rPr>
          <w:rFonts w:ascii="Arial" w:cs="Arial" w:eastAsia="Arial" w:hAnsi="Arial"/>
          <w:color w:val="222222"/>
          <w:sz w:val="22"/>
          <w:szCs w:val="22"/>
        </w:rPr>
        <w:t xml:space="preserve">Fear closes deals in this segment. The system continuously maps federal, state, and local rules onto the actual workforce: minimum wage, OT thresholds, predictive scheduling, paid leave, child-labor, prevailing wage, and posted-notice requirements.</w:t>
      </w:r>
    </w:p>
    <w:p>
      <w:pPr>
        <w:spacing w:after="160" w:before="0" w:line="276"/>
      </w:pPr>
      <w:r>
        <w:rPr>
          <w:rFonts w:ascii="Arial" w:cs="Arial" w:eastAsia="Arial" w:hAnsi="Arial"/>
          <w:color w:val="222222"/>
          <w:sz w:val="22"/>
          <w:szCs w:val="22"/>
        </w:rPr>
        <w:t xml:space="preserve">Alert example: “New Jersey minimum wage changes in 45 days. 62 employees are under the new floor on current rates. Payroll rules will update on the effective date. Approve the wage-floor increase now or on the statutory date.”</w:t>
      </w:r>
    </w:p>
    <w:p>
      <w:pPr>
        <w:spacing w:after="160" w:before="0" w:line="276"/>
      </w:pPr>
      <w:r>
        <w:rPr>
          <w:rFonts w:ascii="Arial" w:cs="Arial" w:eastAsia="Arial" w:hAnsi="Arial"/>
          <w:color w:val="222222"/>
          <w:sz w:val="22"/>
          <w:szCs w:val="22"/>
        </w:rPr>
        <w:t xml:space="preserve">Year one: own the five verticals in the states those verticals actually operate. Do not claim “every ordinance in America” on day one. That claim is how compliance products die.</w:t>
      </w:r>
    </w:p>
    <w:p>
      <w:pPr>
        <w:pStyle w:val="Heading2"/>
        <w:spacing w:after="140" w:before="280"/>
      </w:pPr>
      <w:r>
        <w:rPr>
          <w:rFonts w:ascii="Arial" w:cs="Arial" w:eastAsia="Arial" w:hAnsi="Arial"/>
          <w:b/>
          <w:bCs/>
          <w:color w:val="0B7A3B"/>
          <w:sz w:val="26"/>
          <w:szCs w:val="26"/>
        </w:rPr>
        <w:t xml:space="preserve">5.5 Workforce Health Score — v1.1</w:t>
      </w:r>
    </w:p>
    <w:p>
      <w:pPr>
        <w:spacing w:after="160" w:before="0" w:line="276"/>
      </w:pPr>
      <w:r>
        <w:rPr>
          <w:rFonts w:ascii="Arial" w:cs="Arial" w:eastAsia="Arial" w:hAnsi="Arial"/>
          <w:color w:val="222222"/>
          <w:sz w:val="22"/>
          <w:szCs w:val="22"/>
        </w:rPr>
        <w:t xml:space="preserve">A proprietary 0–100 metric. Inputs: turnover risk, schedule instability, absenteeism, pay anomalies, overtime load, comp versus local benchmark, EWA stress use, and span-of-control. CEOs will not read twelve dashboards. They will watch one number move.</w:t>
      </w:r>
    </w:p>
    <w:p>
      <w:pPr>
        <w:spacing w:after="160" w:before="0" w:line="276"/>
      </w:pPr>
      <w:r>
        <w:rPr>
          <w:rFonts w:ascii="Arial" w:cs="Arial" w:eastAsia="Arial" w:hAnsi="Arial"/>
          <w:color w:val="222222"/>
          <w:sz w:val="22"/>
          <w:szCs w:val="22"/>
        </w:rPr>
        <w:t xml:space="preserve">The score is only defensible if it is predictive. Hold out a validation set. Publish hit rates on 90-day exits. If it cannot beat a naive “people who missed two shifts” baseline, kill the branding and keep the components.</w:t>
      </w:r>
    </w:p>
    <w:p>
      <w:pPr>
        <w:pStyle w:val="Heading2"/>
        <w:spacing w:after="140" w:before="280"/>
      </w:pPr>
      <w:r>
        <w:rPr>
          <w:rFonts w:ascii="Arial" w:cs="Arial" w:eastAsia="Arial" w:hAnsi="Arial"/>
          <w:b/>
          <w:bCs/>
          <w:color w:val="0B7A3B"/>
          <w:sz w:val="26"/>
          <w:szCs w:val="26"/>
        </w:rPr>
        <w:t xml:space="preserve">5.6 Employee financial wellness engine — v1.1</w:t>
      </w:r>
    </w:p>
    <w:p>
      <w:pPr>
        <w:spacing w:after="160" w:before="0" w:line="276"/>
      </w:pPr>
      <w:r>
        <w:rPr>
          <w:rFonts w:ascii="Arial" w:cs="Arial" w:eastAsia="Arial" w:hAnsi="Arial"/>
          <w:color w:val="222222"/>
          <w:sz w:val="22"/>
          <w:szCs w:val="22"/>
        </w:rPr>
        <w:t xml:space="preserve">A coach that can see payroll is a different product from a generic budgeting app.</w:t>
      </w:r>
    </w:p>
    <w:p>
      <w:pPr>
        <w:pStyle w:val="ListParagraph"/>
        <w:numPr>
          <w:ilvl w:val="0"/>
          <w:numId w:val="2"/>
        </w:numPr>
        <w:spacing w:after="80" w:line="276"/>
      </w:pPr>
      <w:r>
        <w:rPr>
          <w:rFonts w:ascii="Arial" w:cs="Arial" w:eastAsia="Arial" w:hAnsi="Arial"/>
          <w:color w:val="222222"/>
          <w:sz w:val="22"/>
          <w:szCs w:val="22"/>
        </w:rPr>
        <w:t xml:space="preserve">Withholding check: “You can save about $4,200 this year by adjusting federal withholding. Here is the W-4 change.”</w:t>
      </w:r>
    </w:p>
    <w:p>
      <w:pPr>
        <w:pStyle w:val="ListParagraph"/>
        <w:numPr>
          <w:ilvl w:val="0"/>
          <w:numId w:val="2"/>
        </w:numPr>
        <w:spacing w:after="80" w:line="276"/>
      </w:pPr>
      <w:r>
        <w:rPr>
          <w:rFonts w:ascii="Arial" w:cs="Arial" w:eastAsia="Arial" w:hAnsi="Arial"/>
          <w:color w:val="222222"/>
          <w:sz w:val="22"/>
          <w:szCs w:val="22"/>
        </w:rPr>
        <w:t xml:space="preserve">Hours volatility and a simple cash calendar.</w:t>
      </w:r>
    </w:p>
    <w:p>
      <w:pPr>
        <w:pStyle w:val="ListParagraph"/>
        <w:numPr>
          <w:ilvl w:val="0"/>
          <w:numId w:val="2"/>
        </w:numPr>
        <w:spacing w:after="80" w:line="276"/>
      </w:pPr>
      <w:r>
        <w:rPr>
          <w:rFonts w:ascii="Arial" w:cs="Arial" w:eastAsia="Arial" w:hAnsi="Arial"/>
          <w:color w:val="222222"/>
          <w:sz w:val="22"/>
          <w:szCs w:val="22"/>
        </w:rPr>
        <w:t xml:space="preserve">Debt payoff order using actual net pay, not a made-up salary.</w:t>
      </w:r>
    </w:p>
    <w:p>
      <w:pPr>
        <w:pStyle w:val="ListParagraph"/>
        <w:numPr>
          <w:ilvl w:val="0"/>
          <w:numId w:val="2"/>
        </w:numPr>
        <w:spacing w:after="80" w:line="276"/>
      </w:pPr>
      <w:r>
        <w:rPr>
          <w:rFonts w:ascii="Arial" w:cs="Arial" w:eastAsia="Arial" w:hAnsi="Arial"/>
          <w:color w:val="222222"/>
          <w:sz w:val="22"/>
          <w:szCs w:val="22"/>
        </w:rPr>
        <w:t xml:space="preserve">Never sell the employee a high-interest product from the same screen that shows their wage.</w:t>
      </w:r>
    </w:p>
    <w:p>
      <w:pPr>
        <w:pStyle w:val="Heading2"/>
        <w:spacing w:after="140" w:before="280"/>
      </w:pPr>
      <w:r>
        <w:rPr>
          <w:rFonts w:ascii="Arial" w:cs="Arial" w:eastAsia="Arial" w:hAnsi="Arial"/>
          <w:b/>
          <w:bCs/>
          <w:color w:val="0B7A3B"/>
          <w:sz w:val="26"/>
          <w:szCs w:val="26"/>
        </w:rPr>
        <w:t xml:space="preserve">5.7 AI benefits optimization — v2</w:t>
      </w:r>
    </w:p>
    <w:p>
      <w:pPr>
        <w:spacing w:after="160" w:before="0" w:line="276"/>
      </w:pPr>
      <w:r>
        <w:rPr>
          <w:rFonts w:ascii="Arial" w:cs="Arial" w:eastAsia="Arial" w:hAnsi="Arial"/>
          <w:color w:val="222222"/>
          <w:sz w:val="22"/>
          <w:szCs w:val="22"/>
        </w:rPr>
        <w:t xml:space="preserve">Most employees pick plans badly. Using age, dependents, prior claims if available, HSA eligibility, and pay, recommend medical tier, HSA contribution, and retirement allocation. Savings accrue to the employee. Employer residual is retention.</w:t>
      </w:r>
    </w:p>
    <w:p>
      <w:pPr>
        <w:pStyle w:val="Heading2"/>
        <w:spacing w:after="140" w:before="280"/>
      </w:pPr>
      <w:r>
        <w:rPr>
          <w:rFonts w:ascii="Arial" w:cs="Arial" w:eastAsia="Arial" w:hAnsi="Arial"/>
          <w:b/>
          <w:bCs/>
          <w:color w:val="0B7A3B"/>
          <w:sz w:val="26"/>
          <w:szCs w:val="26"/>
        </w:rPr>
        <w:t xml:space="preserve">5.8 Recruiting from payroll data — v2</w:t>
      </w:r>
    </w:p>
    <w:p>
      <w:pPr>
        <w:spacing w:after="160" w:before="0" w:line="276"/>
      </w:pPr>
      <w:r>
        <w:rPr>
          <w:rFonts w:ascii="Arial" w:cs="Arial" w:eastAsia="Arial" w:hAnsi="Arial"/>
          <w:color w:val="222222"/>
          <w:sz w:val="22"/>
          <w:szCs w:val="22"/>
        </w:rPr>
        <w:t xml:space="preserve">When OT and contractor spend cross a threshold, the system proposes headcount, start window, and a pay range drawn from Aether’s own paid-wage graph — not a scraped job board. An ATS can be integrated. Building a full ATS in year one is a distraction.</w:t>
      </w:r>
    </w:p>
    <w:p>
      <w:pPr>
        <w:pStyle w:val="Heading2"/>
        <w:spacing w:after="140" w:before="280"/>
      </w:pPr>
      <w:r>
        <w:rPr>
          <w:rFonts w:ascii="Arial" w:cs="Arial" w:eastAsia="Arial" w:hAnsi="Arial"/>
          <w:b/>
          <w:bCs/>
          <w:color w:val="0B7A3B"/>
          <w:sz w:val="26"/>
          <w:szCs w:val="26"/>
        </w:rPr>
        <w:t xml:space="preserve">5.9 Tax savings engine — v1</w:t>
      </w:r>
    </w:p>
    <w:p>
      <w:pPr>
        <w:spacing w:after="160" w:before="0" w:line="276"/>
      </w:pPr>
      <w:r>
        <w:rPr>
          <w:rFonts w:ascii="Arial" w:cs="Arial" w:eastAsia="Arial" w:hAnsi="Arial"/>
          <w:color w:val="222222"/>
          <w:sz w:val="22"/>
          <w:szCs w:val="22"/>
        </w:rPr>
        <w:t xml:space="preserve">This is how the software pays for itself. Scan the workforce and entity against:</w:t>
      </w:r>
    </w:p>
    <w:p>
      <w:pPr>
        <w:pStyle w:val="ListParagraph"/>
        <w:numPr>
          <w:ilvl w:val="0"/>
          <w:numId w:val="2"/>
        </w:numPr>
        <w:spacing w:after="80" w:line="276"/>
      </w:pPr>
      <w:r>
        <w:rPr>
          <w:rFonts w:ascii="Arial" w:cs="Arial" w:eastAsia="Arial" w:hAnsi="Arial"/>
          <w:color w:val="222222"/>
          <w:sz w:val="22"/>
          <w:szCs w:val="22"/>
        </w:rPr>
        <w:t xml:space="preserve">Work Opportunity Tax Credit, while it exists. Current federal authorization has been time-limited; do not underwrite the company on one credit.</w:t>
      </w:r>
    </w:p>
    <w:p>
      <w:pPr>
        <w:pStyle w:val="ListParagraph"/>
        <w:numPr>
          <w:ilvl w:val="0"/>
          <w:numId w:val="2"/>
        </w:numPr>
        <w:spacing w:after="80" w:line="276"/>
      </w:pPr>
      <w:r>
        <w:rPr>
          <w:rFonts w:ascii="Arial" w:cs="Arial" w:eastAsia="Arial" w:hAnsi="Arial"/>
          <w:color w:val="222222"/>
          <w:sz w:val="22"/>
          <w:szCs w:val="22"/>
        </w:rPr>
        <w:t xml:space="preserve">State hiring, training, and apprenticeship credits.</w:t>
      </w:r>
    </w:p>
    <w:p>
      <w:pPr>
        <w:pStyle w:val="ListParagraph"/>
        <w:numPr>
          <w:ilvl w:val="0"/>
          <w:numId w:val="2"/>
        </w:numPr>
        <w:spacing w:after="80" w:line="276"/>
      </w:pPr>
      <w:r>
        <w:rPr>
          <w:rFonts w:ascii="Arial" w:cs="Arial" w:eastAsia="Arial" w:hAnsi="Arial"/>
          <w:color w:val="222222"/>
          <w:sz w:val="22"/>
          <w:szCs w:val="22"/>
        </w:rPr>
        <w:t xml:space="preserve">R&amp;D payroll-tax offset for qualified small businesses (up to the statutory cap, currently $500,000 against the employer Social Security portion for eligible firms).</w:t>
      </w:r>
    </w:p>
    <w:p>
      <w:pPr>
        <w:pStyle w:val="ListParagraph"/>
        <w:numPr>
          <w:ilvl w:val="0"/>
          <w:numId w:val="2"/>
        </w:numPr>
        <w:spacing w:after="80" w:line="276"/>
      </w:pPr>
      <w:r>
        <w:rPr>
          <w:rFonts w:ascii="Arial" w:cs="Arial" w:eastAsia="Arial" w:hAnsi="Arial"/>
          <w:color w:val="222222"/>
          <w:sz w:val="22"/>
          <w:szCs w:val="22"/>
        </w:rPr>
        <w:t xml:space="preserve">Industry-specific incentives (prevailing-wage adjacent programs, energy, opportunity zones where real).</w:t>
      </w:r>
    </w:p>
    <w:p>
      <w:pPr>
        <w:spacing w:after="160" w:before="0" w:line="276"/>
      </w:pPr>
      <w:r>
        <w:rPr>
          <w:rFonts w:ascii="Arial" w:cs="Arial" w:eastAsia="Arial" w:hAnsi="Arial"/>
          <w:color w:val="222222"/>
          <w:sz w:val="22"/>
          <w:szCs w:val="22"/>
        </w:rPr>
        <w:t xml:space="preserve">Output: “Your business appears to qualify for $18,400 in documented incentives. Here is the packet and the filing path.” Take a share of verified savings in year one. Step the take-rate down so customers do not feel rented.</w:t>
      </w:r>
    </w:p>
    <w:p>
      <w:pPr>
        <w:pStyle w:val="Heading2"/>
        <w:spacing w:after="140" w:before="280"/>
      </w:pPr>
      <w:r>
        <w:rPr>
          <w:rFonts w:ascii="Arial" w:cs="Arial" w:eastAsia="Arial" w:hAnsi="Arial"/>
          <w:b/>
          <w:bCs/>
          <w:color w:val="0B7A3B"/>
          <w:sz w:val="26"/>
          <w:szCs w:val="26"/>
        </w:rPr>
        <w:t xml:space="preserve">5.10 Marketplace — v3</w:t>
      </w:r>
    </w:p>
    <w:p>
      <w:pPr>
        <w:spacing w:after="160" w:before="0" w:line="276"/>
      </w:pPr>
      <w:r>
        <w:rPr>
          <w:rFonts w:ascii="Arial" w:cs="Arial" w:eastAsia="Arial" w:hAnsi="Arial"/>
          <w:color w:val="222222"/>
          <w:sz w:val="22"/>
          <w:szCs w:val="22"/>
        </w:rPr>
        <w:t xml:space="preserve">Accounting, banking, insurance, retirement. Network effects are real and late. Launching an app store before the OS is trusted is how you become a confused integration page.</w:t>
      </w:r>
    </w:p>
    <w:p>
      <w:pPr>
        <w:pStyle w:val="Heading1"/>
        <w:pBdr>
          <w:bottom w:val="single" w:color="0B7A3B" w:sz="12" w:space="8"/>
        </w:pBdr>
        <w:spacing w:after="200" w:before="360"/>
      </w:pPr>
      <w:r>
        <w:rPr>
          <w:rFonts w:ascii="Arial" w:cs="Arial" w:eastAsia="Arial" w:hAnsi="Arial"/>
          <w:b/>
          <w:bCs/>
          <w:color w:val="0F1F17"/>
          <w:sz w:val="32"/>
          <w:szCs w:val="32"/>
        </w:rPr>
        <w:t xml:space="preserve">6. Experience design</w:t>
      </w:r>
    </w:p>
    <w:p>
      <w:pPr>
        <w:pStyle w:val="Heading3"/>
        <w:spacing w:after="100" w:before="200"/>
      </w:pPr>
      <w:r>
        <w:rPr>
          <w:rFonts w:ascii="Arial" w:cs="Arial" w:eastAsia="Arial" w:hAnsi="Arial"/>
          <w:b/>
          <w:bCs/>
          <w:color w:val="0F1F17"/>
          <w:sz w:val="24"/>
          <w:szCs w:val="24"/>
        </w:rPr>
        <w:t xml:space="preserve">Operator console (the person who used to live in ADP)</w:t>
      </w:r>
    </w:p>
    <w:p>
      <w:pPr>
        <w:pStyle w:val="ListParagraph"/>
        <w:numPr>
          <w:ilvl w:val="0"/>
          <w:numId w:val="2"/>
        </w:numPr>
        <w:spacing w:after="80" w:line="276"/>
      </w:pPr>
      <w:r>
        <w:rPr>
          <w:rFonts w:ascii="Arial" w:cs="Arial" w:eastAsia="Arial" w:hAnsi="Arial"/>
          <w:color w:val="222222"/>
          <w:sz w:val="22"/>
          <w:szCs w:val="22"/>
        </w:rPr>
        <w:t xml:space="preserve">Today: exception queue, cash position versus next tax deposit, Health Score, open compliance items.</w:t>
      </w:r>
    </w:p>
    <w:p>
      <w:pPr>
        <w:pStyle w:val="ListParagraph"/>
        <w:numPr>
          <w:ilvl w:val="0"/>
          <w:numId w:val="2"/>
        </w:numPr>
        <w:spacing w:after="80" w:line="276"/>
      </w:pPr>
      <w:r>
        <w:rPr>
          <w:rFonts w:ascii="Arial" w:cs="Arial" w:eastAsia="Arial" w:hAnsi="Arial"/>
          <w:color w:val="222222"/>
          <w:sz w:val="22"/>
          <w:szCs w:val="22"/>
        </w:rPr>
        <w:t xml:space="preserve">This cycle: approve / reject each exception with a reason code. One click to run.</w:t>
      </w:r>
    </w:p>
    <w:p>
      <w:pPr>
        <w:pStyle w:val="ListParagraph"/>
        <w:numPr>
          <w:ilvl w:val="0"/>
          <w:numId w:val="2"/>
        </w:numPr>
        <w:spacing w:after="80" w:line="276"/>
      </w:pPr>
      <w:r>
        <w:rPr>
          <w:rFonts w:ascii="Arial" w:cs="Arial" w:eastAsia="Arial" w:hAnsi="Arial"/>
          <w:color w:val="222222"/>
          <w:sz w:val="22"/>
          <w:szCs w:val="22"/>
        </w:rPr>
        <w:t xml:space="preserve">This quarter: labor forecast versus actual, credits in flight, turnover watchlist.</w:t>
      </w:r>
    </w:p>
    <w:p>
      <w:pPr>
        <w:pStyle w:val="Heading3"/>
        <w:spacing w:after="100" w:before="200"/>
      </w:pPr>
      <w:r>
        <w:rPr>
          <w:rFonts w:ascii="Arial" w:cs="Arial" w:eastAsia="Arial" w:hAnsi="Arial"/>
          <w:b/>
          <w:bCs/>
          <w:color w:val="0F1F17"/>
          <w:sz w:val="24"/>
          <w:szCs w:val="24"/>
        </w:rPr>
        <w:t xml:space="preserve">CEO / owner view</w:t>
      </w:r>
    </w:p>
    <w:p>
      <w:pPr>
        <w:pStyle w:val="ListParagraph"/>
        <w:numPr>
          <w:ilvl w:val="0"/>
          <w:numId w:val="2"/>
        </w:numPr>
        <w:spacing w:after="80" w:line="276"/>
      </w:pPr>
      <w:r>
        <w:rPr>
          <w:rFonts w:ascii="Arial" w:cs="Arial" w:eastAsia="Arial" w:hAnsi="Arial"/>
          <w:color w:val="222222"/>
          <w:sz w:val="22"/>
          <w:szCs w:val="22"/>
        </w:rPr>
        <w:t xml:space="preserve">Health Score. Next three payrolls. Credits found year-to-date. Sites that are on fire.</w:t>
      </w:r>
    </w:p>
    <w:p>
      <w:pPr>
        <w:pStyle w:val="ListParagraph"/>
        <w:numPr>
          <w:ilvl w:val="0"/>
          <w:numId w:val="2"/>
        </w:numPr>
        <w:spacing w:after="80" w:line="276"/>
      </w:pPr>
      <w:r>
        <w:rPr>
          <w:rFonts w:ascii="Arial" w:cs="Arial" w:eastAsia="Arial" w:hAnsi="Arial"/>
          <w:color w:val="222222"/>
          <w:sz w:val="22"/>
          <w:szCs w:val="22"/>
        </w:rPr>
        <w:t xml:space="preserve">No timesheet grid. If they want one, they are not the buyer.</w:t>
      </w:r>
    </w:p>
    <w:p>
      <w:pPr>
        <w:pStyle w:val="Heading3"/>
        <w:spacing w:after="100" w:before="200"/>
      </w:pPr>
      <w:r>
        <w:rPr>
          <w:rFonts w:ascii="Arial" w:cs="Arial" w:eastAsia="Arial" w:hAnsi="Arial"/>
          <w:b/>
          <w:bCs/>
          <w:color w:val="0F1F17"/>
          <w:sz w:val="24"/>
          <w:szCs w:val="24"/>
        </w:rPr>
        <w:t xml:space="preserve">Employee app</w:t>
      </w:r>
    </w:p>
    <w:p>
      <w:pPr>
        <w:pStyle w:val="ListParagraph"/>
        <w:numPr>
          <w:ilvl w:val="0"/>
          <w:numId w:val="2"/>
        </w:numPr>
        <w:spacing w:after="80" w:line="276"/>
      </w:pPr>
      <w:r>
        <w:rPr>
          <w:rFonts w:ascii="Arial" w:cs="Arial" w:eastAsia="Arial" w:hAnsi="Arial"/>
          <w:color w:val="222222"/>
          <w:sz w:val="22"/>
          <w:szCs w:val="22"/>
        </w:rPr>
        <w:t xml:space="preserve">Pay stub, next payday, earned-but-unpaid balance, instant / standard transfer.</w:t>
      </w:r>
    </w:p>
    <w:p>
      <w:pPr>
        <w:pStyle w:val="ListParagraph"/>
        <w:numPr>
          <w:ilvl w:val="0"/>
          <w:numId w:val="2"/>
        </w:numPr>
        <w:spacing w:after="80" w:line="276"/>
      </w:pPr>
      <w:r>
        <w:rPr>
          <w:rFonts w:ascii="Arial" w:cs="Arial" w:eastAsia="Arial" w:hAnsi="Arial"/>
          <w:color w:val="222222"/>
          <w:sz w:val="22"/>
          <w:szCs w:val="22"/>
        </w:rPr>
        <w:t xml:space="preserve">Coach card of the week. Benefits recommendation when enrollment opens.</w:t>
      </w:r>
    </w:p>
    <w:p>
      <w:pPr>
        <w:pStyle w:val="ListParagraph"/>
        <w:numPr>
          <w:ilvl w:val="0"/>
          <w:numId w:val="2"/>
        </w:numPr>
        <w:spacing w:after="80" w:line="276"/>
      </w:pPr>
      <w:r>
        <w:rPr>
          <w:rFonts w:ascii="Arial" w:cs="Arial" w:eastAsia="Arial" w:hAnsi="Arial"/>
          <w:color w:val="222222"/>
          <w:sz w:val="22"/>
          <w:szCs w:val="22"/>
        </w:rPr>
        <w:t xml:space="preserve">Schedule and punch if the employer uses Aether time. Otherwise read-only.</w:t>
      </w:r>
    </w:p>
    <w:p>
      <w:pPr>
        <w:pStyle w:val="Heading3"/>
        <w:spacing w:after="100" w:before="200"/>
      </w:pPr>
      <w:r>
        <w:rPr>
          <w:rFonts w:ascii="Arial" w:cs="Arial" w:eastAsia="Arial" w:hAnsi="Arial"/>
          <w:b/>
          <w:bCs/>
          <w:color w:val="0F1F17"/>
          <w:sz w:val="24"/>
          <w:szCs w:val="24"/>
        </w:rPr>
        <w:t xml:space="preserve">Voice of the product</w:t>
      </w:r>
    </w:p>
    <w:p>
      <w:pPr>
        <w:spacing w:after="160" w:before="0" w:line="276"/>
      </w:pPr>
      <w:r>
        <w:rPr>
          <w:rFonts w:ascii="Arial" w:cs="Arial" w:eastAsia="Arial" w:hAnsi="Arial"/>
          <w:color w:val="222222"/>
          <w:sz w:val="22"/>
          <w:szCs w:val="22"/>
        </w:rPr>
        <w:t xml:space="preserve">Plain language. Short sentences. Numbers with denominators. Never “leverage.” Never a confidence percentage on a money movement.</w:t>
      </w:r>
    </w:p>
    <w:p>
      <w:pPr>
        <w:pStyle w:val="Heading1"/>
        <w:pBdr>
          <w:bottom w:val="single" w:color="0B7A3B" w:sz="12" w:space="8"/>
        </w:pBdr>
        <w:spacing w:after="200" w:before="360"/>
      </w:pPr>
      <w:r>
        <w:rPr>
          <w:rFonts w:ascii="Arial" w:cs="Arial" w:eastAsia="Arial" w:hAnsi="Arial"/>
          <w:b/>
          <w:bCs/>
          <w:color w:val="0F1F17"/>
          <w:sz w:val="32"/>
          <w:szCs w:val="32"/>
        </w:rPr>
        <w:t xml:space="preserve">7. Architecture and build order</w:t>
      </w:r>
    </w:p>
    <w:p>
      <w:pPr>
        <w:spacing w:after="160" w:before="0" w:line="276"/>
      </w:pPr>
      <w:r>
        <w:rPr>
          <w:rFonts w:ascii="Arial" w:cs="Arial" w:eastAsia="Arial" w:hAnsi="Arial"/>
          <w:color w:val="222222"/>
          <w:sz w:val="22"/>
          <w:szCs w:val="22"/>
        </w:rPr>
        <w:t xml:space="preserve">Rent the rails. Own the brain.</w:t>
      </w:r>
    </w:p>
    <w:p>
      <w:pPr>
        <w:pStyle w:val="Heading2"/>
        <w:spacing w:after="140" w:before="280"/>
      </w:pPr>
      <w:r>
        <w:rPr>
          <w:rFonts w:ascii="Arial" w:cs="Arial" w:eastAsia="Arial" w:hAnsi="Arial"/>
          <w:b/>
          <w:bCs/>
          <w:color w:val="0B7A3B"/>
          <w:sz w:val="26"/>
          <w:szCs w:val="26"/>
        </w:rPr>
        <w:t xml:space="preserve">Year 0–1</w:t>
      </w:r>
    </w:p>
    <w:p>
      <w:pPr>
        <w:pStyle w:val="ListParagraph"/>
        <w:numPr>
          <w:ilvl w:val="0"/>
          <w:numId w:val="2"/>
        </w:numPr>
        <w:spacing w:after="80" w:line="276"/>
      </w:pPr>
      <w:r>
        <w:rPr>
          <w:rFonts w:ascii="Arial" w:cs="Arial" w:eastAsia="Arial" w:hAnsi="Arial"/>
          <w:color w:val="222222"/>
          <w:sz w:val="22"/>
          <w:szCs w:val="22"/>
        </w:rPr>
        <w:t xml:space="preserve">Payroll calculation, tax filing, and money movement on a modern embedded rail (Check-class or equivalent). Do not spend eighteen months becoming a tax engine.</w:t>
      </w:r>
    </w:p>
    <w:p>
      <w:pPr>
        <w:pStyle w:val="ListParagraph"/>
        <w:numPr>
          <w:ilvl w:val="0"/>
          <w:numId w:val="2"/>
        </w:numPr>
        <w:spacing w:after="80" w:line="276"/>
      </w:pPr>
      <w:r>
        <w:rPr>
          <w:rFonts w:ascii="Arial" w:cs="Arial" w:eastAsia="Arial" w:hAnsi="Arial"/>
          <w:color w:val="222222"/>
          <w:sz w:val="22"/>
          <w:szCs w:val="22"/>
        </w:rPr>
        <w:t xml:space="preserve">Own: copilot, anomaly models, compliance monitor for the five verticals, tax-credit scanner, labor forecast, Health Score, employee app.</w:t>
      </w:r>
    </w:p>
    <w:p>
      <w:pPr>
        <w:pStyle w:val="ListParagraph"/>
        <w:numPr>
          <w:ilvl w:val="0"/>
          <w:numId w:val="2"/>
        </w:numPr>
        <w:spacing w:after="80" w:line="276"/>
      </w:pPr>
      <w:r>
        <w:rPr>
          <w:rFonts w:ascii="Arial" w:cs="Arial" w:eastAsia="Arial" w:hAnsi="Arial"/>
          <w:color w:val="222222"/>
          <w:sz w:val="22"/>
          <w:szCs w:val="22"/>
        </w:rPr>
        <w:t xml:space="preserve">Human dual-control on any file that moves money. SOC 2 Type I in flight immediately, Type II as soon as the clock allows.</w:t>
      </w:r>
    </w:p>
    <w:p>
      <w:pPr>
        <w:pStyle w:val="Heading2"/>
        <w:spacing w:after="140" w:before="280"/>
      </w:pPr>
      <w:r>
        <w:rPr>
          <w:rFonts w:ascii="Arial" w:cs="Arial" w:eastAsia="Arial" w:hAnsi="Arial"/>
          <w:b/>
          <w:bCs/>
          <w:color w:val="0B7A3B"/>
          <w:sz w:val="26"/>
          <w:szCs w:val="26"/>
        </w:rPr>
        <w:t xml:space="preserve">Year 1–2</w:t>
      </w:r>
    </w:p>
    <w:p>
      <w:pPr>
        <w:pStyle w:val="ListParagraph"/>
        <w:numPr>
          <w:ilvl w:val="0"/>
          <w:numId w:val="2"/>
        </w:numPr>
        <w:spacing w:after="80" w:line="276"/>
      </w:pPr>
      <w:r>
        <w:rPr>
          <w:rFonts w:ascii="Arial" w:cs="Arial" w:eastAsia="Arial" w:hAnsi="Arial"/>
          <w:color w:val="222222"/>
          <w:sz w:val="22"/>
          <w:szCs w:val="22"/>
        </w:rPr>
        <w:t xml:space="preserve">EWA liquidity with a bank partner. Underwrite employers. Keep worker-side economics clean.</w:t>
      </w:r>
    </w:p>
    <w:p>
      <w:pPr>
        <w:pStyle w:val="ListParagraph"/>
        <w:numPr>
          <w:ilvl w:val="0"/>
          <w:numId w:val="2"/>
        </w:numPr>
        <w:spacing w:after="80" w:line="276"/>
      </w:pPr>
      <w:r>
        <w:rPr>
          <w:rFonts w:ascii="Arial" w:cs="Arial" w:eastAsia="Arial" w:hAnsi="Arial"/>
          <w:color w:val="222222"/>
          <w:sz w:val="22"/>
          <w:szCs w:val="22"/>
        </w:rPr>
        <w:t xml:space="preserve">Time and attendance for the verticals that still live in clipboards and group texts.</w:t>
      </w:r>
    </w:p>
    <w:p>
      <w:pPr>
        <w:pStyle w:val="ListParagraph"/>
        <w:numPr>
          <w:ilvl w:val="0"/>
          <w:numId w:val="2"/>
        </w:numPr>
        <w:spacing w:after="80" w:line="276"/>
      </w:pPr>
      <w:r>
        <w:rPr>
          <w:rFonts w:ascii="Arial" w:cs="Arial" w:eastAsia="Arial" w:hAnsi="Arial"/>
          <w:color w:val="222222"/>
          <w:sz w:val="22"/>
          <w:szCs w:val="22"/>
        </w:rPr>
        <w:t xml:space="preserve">CPA / bookkeeper partner portal. These people are distribution.</w:t>
      </w:r>
    </w:p>
    <w:p>
      <w:pPr>
        <w:pStyle w:val="Heading2"/>
        <w:spacing w:after="140" w:before="280"/>
      </w:pPr>
      <w:r>
        <w:rPr>
          <w:rFonts w:ascii="Arial" w:cs="Arial" w:eastAsia="Arial" w:hAnsi="Arial"/>
          <w:b/>
          <w:bCs/>
          <w:color w:val="0B7A3B"/>
          <w:sz w:val="26"/>
          <w:szCs w:val="26"/>
        </w:rPr>
        <w:t xml:space="preserve">Year 2–3</w:t>
      </w:r>
    </w:p>
    <w:p>
      <w:pPr>
        <w:pStyle w:val="ListParagraph"/>
        <w:numPr>
          <w:ilvl w:val="0"/>
          <w:numId w:val="2"/>
        </w:numPr>
        <w:spacing w:after="80" w:line="276"/>
      </w:pPr>
      <w:r>
        <w:rPr>
          <w:rFonts w:ascii="Arial" w:cs="Arial" w:eastAsia="Arial" w:hAnsi="Arial"/>
          <w:color w:val="222222"/>
          <w:sz w:val="22"/>
          <w:szCs w:val="22"/>
        </w:rPr>
        <w:t xml:space="preserve">Bring calculation in-house for the five verticals once volume and error budget justify it.</w:t>
      </w:r>
    </w:p>
    <w:p>
      <w:pPr>
        <w:pStyle w:val="ListParagraph"/>
        <w:numPr>
          <w:ilvl w:val="0"/>
          <w:numId w:val="2"/>
        </w:numPr>
        <w:spacing w:after="80" w:line="276"/>
      </w:pPr>
      <w:r>
        <w:rPr>
          <w:rFonts w:ascii="Arial" w:cs="Arial" w:eastAsia="Arial" w:hAnsi="Arial"/>
          <w:color w:val="222222"/>
          <w:sz w:val="22"/>
          <w:szCs w:val="22"/>
        </w:rPr>
        <w:t xml:space="preserve">Keep a filing partner until missed-deposit risk is boring.</w:t>
      </w:r>
    </w:p>
    <w:p>
      <w:pPr>
        <w:pStyle w:val="Heading2"/>
        <w:spacing w:after="140" w:before="280"/>
      </w:pPr>
      <w:r>
        <w:rPr>
          <w:rFonts w:ascii="Arial" w:cs="Arial" w:eastAsia="Arial" w:hAnsi="Arial"/>
          <w:b/>
          <w:bCs/>
          <w:color w:val="0B7A3B"/>
          <w:sz w:val="26"/>
          <w:szCs w:val="26"/>
        </w:rPr>
        <w:t xml:space="preserve">Year 3+</w:t>
      </w:r>
    </w:p>
    <w:p>
      <w:pPr>
        <w:pStyle w:val="ListParagraph"/>
        <w:numPr>
          <w:ilvl w:val="0"/>
          <w:numId w:val="2"/>
        </w:numPr>
        <w:spacing w:after="80" w:line="276"/>
      </w:pPr>
      <w:r>
        <w:rPr>
          <w:rFonts w:ascii="Arial" w:cs="Arial" w:eastAsia="Arial" w:hAnsi="Arial"/>
          <w:color w:val="222222"/>
          <w:sz w:val="22"/>
          <w:szCs w:val="22"/>
        </w:rPr>
        <w:t xml:space="preserve">Marketplace. Anonymized benchmark products. Maybe a mid-market tier at 500–2,000 employees.</w:t>
      </w:r>
    </w:p>
    <w:p>
      <w:pPr>
        <w:pStyle w:val="Heading2"/>
        <w:spacing w:after="140" w:before="280"/>
      </w:pPr>
      <w:r>
        <w:rPr>
          <w:rFonts w:ascii="Arial" w:cs="Arial" w:eastAsia="Arial" w:hAnsi="Arial"/>
          <w:b/>
          <w:bCs/>
          <w:color w:val="0B7A3B"/>
          <w:sz w:val="26"/>
          <w:szCs w:val="26"/>
        </w:rPr>
        <w:t xml:space="preserve">Data posture</w:t>
      </w:r>
    </w:p>
    <w:p>
      <w:pPr>
        <w:spacing w:after="160" w:before="0" w:line="276"/>
      </w:pPr>
      <w:r>
        <w:rPr>
          <w:rFonts w:ascii="Arial" w:cs="Arial" w:eastAsia="Arial" w:hAnsi="Arial"/>
          <w:color w:val="222222"/>
          <w:sz w:val="22"/>
          <w:szCs w:val="22"/>
        </w:rPr>
        <w:t xml:space="preserve">Pay data is the most sensitive operational dataset a company has. Least-privilege agents. Customer-level encryption. No training of public models on identifiable payroll. Retention aligned to IRS and state record rules, not to “we might need it.”</w:t>
      </w:r>
    </w:p>
    <w:p>
      <w:pPr>
        <w:pStyle w:val="Heading1"/>
        <w:pBdr>
          <w:bottom w:val="single" w:color="0B7A3B" w:sz="12" w:space="8"/>
        </w:pBdr>
        <w:spacing w:after="200" w:before="360"/>
      </w:pPr>
      <w:r>
        <w:rPr>
          <w:rFonts w:ascii="Arial" w:cs="Arial" w:eastAsia="Arial" w:hAnsi="Arial"/>
          <w:b/>
          <w:bCs/>
          <w:color w:val="0F1F17"/>
          <w:sz w:val="32"/>
          <w:szCs w:val="32"/>
        </w:rPr>
        <w:t xml:space="preserve">8. Pricing</w:t>
      </w:r>
    </w:p>
    <w:p>
      <w:pPr>
        <w:spacing w:after="160" w:before="0" w:line="276"/>
      </w:pPr>
      <w:r>
        <w:rPr>
          <w:rFonts w:ascii="Arial" w:cs="Arial" w:eastAsia="Arial" w:hAnsi="Arial"/>
          <w:color w:val="222222"/>
          <w:sz w:val="22"/>
          <w:szCs w:val="22"/>
        </w:rPr>
        <w:t xml:space="preserve">The invoice should look like a result, not a module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4"/>
              <w:left w:val="single" w:color="CCCCCC" w:sz="4"/>
              <w:bottom w:val="single" w:color="CCCCCC" w:sz="4"/>
              <w:right w:val="single" w:color="CCCCCC" w:sz="4"/>
            </w:tcBorders>
            <w:shd w:fill="0F1F17" w:val="clear"/>
            <w:tcMar>
              <w:top w:type="dxa" w:w="60"/>
              <w:left w:type="dxa" w:w="80"/>
              <w:bottom w:type="dxa" w:w="60"/>
              <w:right w:type="dxa" w:w="80"/>
            </w:tcMar>
            <w:vAlign w:val="center"/>
          </w:tcPr>
          <w:p>
            <w:r>
              <w:rPr>
                <w:rFonts w:ascii="Arial" w:cs="Arial" w:eastAsia="Arial" w:hAnsi="Arial"/>
                <w:b/>
                <w:bCs/>
                <w:color w:val="FFFFFF"/>
                <w:sz w:val="18"/>
                <w:szCs w:val="18"/>
              </w:rPr>
              <w:t xml:space="preserve">Component</w:t>
            </w:r>
          </w:p>
        </w:tc>
        <w:tc>
          <w:tcPr>
            <w:tcW w:type="dxa" w:w="4200"/>
            <w:tcBorders>
              <w:top w:val="single" w:color="CCCCCC" w:sz="4"/>
              <w:left w:val="single" w:color="CCCCCC" w:sz="4"/>
              <w:bottom w:val="single" w:color="CCCCCC" w:sz="4"/>
              <w:right w:val="single" w:color="CCCCCC" w:sz="4"/>
            </w:tcBorders>
            <w:shd w:fill="0F1F17" w:val="clear"/>
            <w:tcMar>
              <w:top w:type="dxa" w:w="60"/>
              <w:left w:type="dxa" w:w="80"/>
              <w:bottom w:type="dxa" w:w="60"/>
              <w:right w:type="dxa" w:w="80"/>
            </w:tcMar>
            <w:vAlign w:val="center"/>
          </w:tcPr>
          <w:p>
            <w:r>
              <w:rPr>
                <w:rFonts w:ascii="Arial" w:cs="Arial" w:eastAsia="Arial" w:hAnsi="Arial"/>
                <w:b/>
                <w:bCs/>
                <w:color w:val="FFFFFF"/>
                <w:sz w:val="18"/>
                <w:szCs w:val="18"/>
              </w:rPr>
              <w:t xml:space="preserve">Shape</w:t>
            </w:r>
          </w:p>
        </w:tc>
        <w:tc>
          <w:tcPr>
            <w:tcW w:type="dxa" w:w="2760"/>
            <w:tcBorders>
              <w:top w:val="single" w:color="CCCCCC" w:sz="4"/>
              <w:left w:val="single" w:color="CCCCCC" w:sz="4"/>
              <w:bottom w:val="single" w:color="CCCCCC" w:sz="4"/>
              <w:right w:val="single" w:color="CCCCCC" w:sz="4"/>
            </w:tcBorders>
            <w:shd w:fill="0F1F17" w:val="clear"/>
            <w:tcMar>
              <w:top w:type="dxa" w:w="60"/>
              <w:left w:type="dxa" w:w="80"/>
              <w:bottom w:type="dxa" w:w="60"/>
              <w:right w:type="dxa" w:w="80"/>
            </w:tcMar>
            <w:vAlign w:val="center"/>
          </w:tcPr>
          <w:p>
            <w:r>
              <w:rPr>
                <w:rFonts w:ascii="Arial" w:cs="Arial" w:eastAsia="Arial" w:hAnsi="Arial"/>
                <w:b/>
                <w:bCs/>
                <w:color w:val="FFFFFF"/>
                <w:sz w:val="18"/>
                <w:szCs w:val="18"/>
              </w:rPr>
              <w:t xml:space="preserve">Intent</w:t>
            </w:r>
          </w:p>
        </w:tc>
      </w:tr>
      <w:tr>
        <w:tc>
          <w:tcPr>
            <w:tcW w:type="dxa" w:w="2400"/>
            <w:tcBorders>
              <w:top w:val="single" w:color="CCCCCC" w:sz="4"/>
              <w:left w:val="single" w:color="CCCCCC" w:sz="4"/>
              <w:bottom w:val="single" w:color="CCCCCC" w:sz="4"/>
              <w:right w:val="single" w:color="CCCCCC" w:sz="4"/>
            </w:tcBorders>
            <w:shd w:fill="F4F5F3" w:val="clear"/>
            <w:tcMar>
              <w:top w:type="dxa" w:w="60"/>
              <w:left w:type="dxa" w:w="80"/>
              <w:bottom w:type="dxa" w:w="60"/>
              <w:right w:type="dxa" w:w="80"/>
            </w:tcMar>
            <w:vAlign w:val="center"/>
          </w:tcPr>
          <w:p>
            <w:r>
              <w:rPr>
                <w:rFonts w:ascii="Arial" w:cs="Arial" w:eastAsia="Arial" w:hAnsi="Arial"/>
                <w:b/>
                <w:bCs/>
                <w:color w:val="222222"/>
                <w:sz w:val="18"/>
                <w:szCs w:val="18"/>
              </w:rPr>
              <w:t xml:space="preserve">Platform</w:t>
            </w:r>
          </w:p>
        </w:tc>
        <w:tc>
          <w:tcPr>
            <w:tcW w:type="dxa" w:w="4200"/>
            <w:tcBorders>
              <w:top w:val="single" w:color="CCCCCC" w:sz="4"/>
              <w:left w:val="single" w:color="CCCCCC" w:sz="4"/>
              <w:bottom w:val="single" w:color="CCCCCC" w:sz="4"/>
              <w:right w:val="single" w:color="CCCCCC" w:sz="4"/>
            </w:tcBorders>
            <w:shd w:fill="F4F5F3"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$10 PEPM, payroll + copilot + compliance</w:t>
            </w:r>
          </w:p>
        </w:tc>
        <w:tc>
          <w:tcPr>
            <w:tcW w:type="dxa" w:w="2760"/>
            <w:tcBorders>
              <w:top w:val="single" w:color="CCCCCC" w:sz="4"/>
              <w:left w:val="single" w:color="CCCCCC" w:sz="4"/>
              <w:bottom w:val="single" w:color="CCCCCC" w:sz="4"/>
              <w:right w:val="single" w:color="CCCCCC" w:sz="4"/>
            </w:tcBorders>
            <w:shd w:fill="F4F5F3"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Simple enough to say on a call</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bCs/>
                <w:color w:val="222222"/>
                <w:sz w:val="18"/>
                <w:szCs w:val="18"/>
              </w:rPr>
              <w:t xml:space="preserve">Tax engine</w:t>
            </w:r>
          </w:p>
        </w:tc>
        <w:tc>
          <w:tcPr>
            <w:tcW w:type="dxa" w:w="4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15–20% of verified credits, year one, then step down</w:t>
            </w:r>
          </w:p>
        </w:tc>
        <w:tc>
          <w:tcPr>
            <w:tcW w:type="dxa" w:w="27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Software pays for itself</w:t>
            </w:r>
          </w:p>
        </w:tc>
      </w:tr>
      <w:tr>
        <w:tc>
          <w:tcPr>
            <w:tcW w:type="dxa" w:w="2400"/>
            <w:tcBorders>
              <w:top w:val="single" w:color="CCCCCC" w:sz="4"/>
              <w:left w:val="single" w:color="CCCCCC" w:sz="4"/>
              <w:bottom w:val="single" w:color="CCCCCC" w:sz="4"/>
              <w:right w:val="single" w:color="CCCCCC" w:sz="4"/>
            </w:tcBorders>
            <w:shd w:fill="F4F5F3" w:val="clear"/>
            <w:tcMar>
              <w:top w:type="dxa" w:w="60"/>
              <w:left w:type="dxa" w:w="80"/>
              <w:bottom w:type="dxa" w:w="60"/>
              <w:right w:type="dxa" w:w="80"/>
            </w:tcMar>
            <w:vAlign w:val="center"/>
          </w:tcPr>
          <w:p>
            <w:r>
              <w:rPr>
                <w:rFonts w:ascii="Arial" w:cs="Arial" w:eastAsia="Arial" w:hAnsi="Arial"/>
                <w:b/>
                <w:bCs/>
                <w:color w:val="222222"/>
                <w:sz w:val="18"/>
                <w:szCs w:val="18"/>
              </w:rPr>
              <w:t xml:space="preserve">EWA</w:t>
            </w:r>
          </w:p>
        </w:tc>
        <w:tc>
          <w:tcPr>
            <w:tcW w:type="dxa" w:w="4200"/>
            <w:tcBorders>
              <w:top w:val="single" w:color="CCCCCC" w:sz="4"/>
              <w:left w:val="single" w:color="CCCCCC" w:sz="4"/>
              <w:bottom w:val="single" w:color="CCCCCC" w:sz="4"/>
              <w:right w:val="single" w:color="CCCCCC" w:sz="4"/>
            </w:tcBorders>
            <w:shd w:fill="F4F5F3"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Employer-absorbed or split flat fee; free standard rail</w:t>
            </w:r>
          </w:p>
        </w:tc>
        <w:tc>
          <w:tcPr>
            <w:tcW w:type="dxa" w:w="2760"/>
            <w:tcBorders>
              <w:top w:val="single" w:color="CCCCCC" w:sz="4"/>
              <w:left w:val="single" w:color="CCCCCC" w:sz="4"/>
              <w:bottom w:val="single" w:color="CCCCCC" w:sz="4"/>
              <w:right w:val="single" w:color="CCCCCC" w:sz="4"/>
            </w:tcBorders>
            <w:shd w:fill="F4F5F3"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Benefit, not a loan book</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bCs/>
                <w:color w:val="222222"/>
                <w:sz w:val="18"/>
                <w:szCs w:val="18"/>
              </w:rPr>
              <w:t xml:space="preserve">Time</w:t>
            </w:r>
          </w:p>
        </w:tc>
        <w:tc>
          <w:tcPr>
            <w:tcW w:type="dxa" w:w="4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Included for v1 verticals</w:t>
            </w:r>
          </w:p>
        </w:tc>
        <w:tc>
          <w:tcPr>
            <w:tcW w:type="dxa" w:w="27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Stop losing punches</w:t>
            </w:r>
          </w:p>
        </w:tc>
      </w:tr>
      <w:tr>
        <w:tc>
          <w:tcPr>
            <w:tcW w:type="dxa" w:w="2400"/>
            <w:tcBorders>
              <w:top w:val="single" w:color="CCCCCC" w:sz="4"/>
              <w:left w:val="single" w:color="CCCCCC" w:sz="4"/>
              <w:bottom w:val="single" w:color="CCCCCC" w:sz="4"/>
              <w:right w:val="single" w:color="CCCCCC" w:sz="4"/>
            </w:tcBorders>
            <w:shd w:fill="F4F5F3" w:val="clear"/>
            <w:tcMar>
              <w:top w:type="dxa" w:w="60"/>
              <w:left w:type="dxa" w:w="80"/>
              <w:bottom w:type="dxa" w:w="60"/>
              <w:right w:type="dxa" w:w="80"/>
            </w:tcMar>
            <w:vAlign w:val="center"/>
          </w:tcPr>
          <w:p>
            <w:r>
              <w:rPr>
                <w:rFonts w:ascii="Arial" w:cs="Arial" w:eastAsia="Arial" w:hAnsi="Arial"/>
                <w:b/>
                <w:bCs/>
                <w:color w:val="222222"/>
                <w:sz w:val="18"/>
                <w:szCs w:val="18"/>
              </w:rPr>
              <w:t xml:space="preserve">Wellness + score</w:t>
            </w:r>
          </w:p>
        </w:tc>
        <w:tc>
          <w:tcPr>
            <w:tcW w:type="dxa" w:w="4200"/>
            <w:tcBorders>
              <w:top w:val="single" w:color="CCCCCC" w:sz="4"/>
              <w:left w:val="single" w:color="CCCCCC" w:sz="4"/>
              <w:bottom w:val="single" w:color="CCCCCC" w:sz="4"/>
              <w:right w:val="single" w:color="CCCCCC" w:sz="4"/>
            </w:tcBorders>
            <w:shd w:fill="F4F5F3"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Included</w:t>
            </w:r>
          </w:p>
        </w:tc>
        <w:tc>
          <w:tcPr>
            <w:tcW w:type="dxa" w:w="2760"/>
            <w:tcBorders>
              <w:top w:val="single" w:color="CCCCCC" w:sz="4"/>
              <w:left w:val="single" w:color="CCCCCC" w:sz="4"/>
              <w:bottom w:val="single" w:color="CCCCCC" w:sz="4"/>
              <w:right w:val="single" w:color="CCCCCC" w:sz="4"/>
            </w:tcBorders>
            <w:shd w:fill="F4F5F3"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Daily habit + exec metric</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bCs/>
                <w:color w:val="222222"/>
                <w:sz w:val="18"/>
                <w:szCs w:val="18"/>
              </w:rPr>
              <w:t xml:space="preserve">Implementation</w:t>
            </w:r>
          </w:p>
        </w:tc>
        <w:tc>
          <w:tcPr>
            <w:tcW w:type="dxa" w:w="4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Fixed, not a surprise. First 50 logos concierged</w:t>
            </w:r>
          </w:p>
        </w:tc>
        <w:tc>
          <w:tcPr>
            <w:tcW w:type="dxa" w:w="27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Migration is the real competitor</w:t>
            </w:r>
          </w:p>
        </w:tc>
      </w:tr>
    </w:tbl>
    <w:p>
      <w:pPr>
        <w:spacing w:after="160" w:before="0" w:line="276"/>
      </w:pPr>
      <w:r>
        <w:rPr>
          <w:rFonts w:ascii="Arial" w:cs="Arial" w:eastAsia="Arial" w:hAnsi="Arial"/>
          <w:color w:val="222222"/>
          <w:sz w:val="22"/>
          <w:szCs w:val="22"/>
        </w:rPr>
        <w:t xml:space="preserve"/>
      </w:r>
    </w:p>
    <w:p>
      <w:pPr>
        <w:spacing w:after="160" w:before="0" w:line="276"/>
      </w:pPr>
      <w:r>
        <w:rPr>
          <w:rFonts w:ascii="Arial" w:cs="Arial" w:eastAsia="Arial" w:hAnsi="Arial"/>
          <w:color w:val="222222"/>
          <w:sz w:val="22"/>
          <w:szCs w:val="22"/>
        </w:rPr>
        <w:t xml:space="preserve">What we refuse: per-module surprise fees, per-state surcharges that appear after the demo, and implementation quotes that double in week four.</w:t>
      </w:r>
    </w:p>
    <w:p>
      <w:pPr>
        <w:pStyle w:val="Heading1"/>
        <w:pBdr>
          <w:bottom w:val="single" w:color="0B7A3B" w:sz="12" w:space="8"/>
        </w:pBdr>
        <w:spacing w:after="200" w:before="360"/>
      </w:pPr>
      <w:r>
        <w:rPr>
          <w:rFonts w:ascii="Arial" w:cs="Arial" w:eastAsia="Arial" w:hAnsi="Arial"/>
          <w:b/>
          <w:bCs/>
          <w:color w:val="0F1F17"/>
          <w:sz w:val="32"/>
          <w:szCs w:val="32"/>
        </w:rPr>
        <w:t xml:space="preserve">9. Go-to-market</w:t>
      </w:r>
    </w:p>
    <w:p>
      <w:pPr>
        <w:pStyle w:val="Heading2"/>
        <w:spacing w:after="140" w:before="280"/>
      </w:pPr>
      <w:r>
        <w:rPr>
          <w:rFonts w:ascii="Arial" w:cs="Arial" w:eastAsia="Arial" w:hAnsi="Arial"/>
          <w:b/>
          <w:bCs/>
          <w:color w:val="0B7A3B"/>
          <w:sz w:val="26"/>
          <w:szCs w:val="26"/>
        </w:rPr>
        <w:t xml:space="preserve">Do not compete with ADP’s brand. Attack where incumbents are generic.</w:t>
      </w:r>
    </w:p>
    <w:p>
      <w:pPr>
        <w:pStyle w:val="Heading3"/>
        <w:spacing w:after="100" w:before="200"/>
      </w:pPr>
      <w:r>
        <w:rPr>
          <w:rFonts w:ascii="Arial" w:cs="Arial" w:eastAsia="Arial" w:hAnsi="Arial"/>
          <w:b/>
          <w:bCs/>
          <w:color w:val="0F1F17"/>
          <w:sz w:val="24"/>
          <w:szCs w:val="24"/>
        </w:rPr>
        <w:t xml:space="preserve">Phase 0 — design partners</w:t>
      </w:r>
    </w:p>
    <w:p>
      <w:pPr>
        <w:spacing w:after="160" w:before="0" w:line="276"/>
      </w:pPr>
      <w:r>
        <w:rPr>
          <w:rFonts w:ascii="Arial" w:cs="Arial" w:eastAsia="Arial" w:hAnsi="Arial"/>
          <w:color w:val="222222"/>
          <w:sz w:val="22"/>
          <w:szCs w:val="22"/>
        </w:rPr>
        <w:t xml:space="preserve">Twenty firms, two verticals, one region (start with the Mid-Atlantic / Northeast where multi-state and NJ-NY-PA complexity is real). White-glove migration. Parallel-run two pay cycles. Measure hours saved, credits found, EWA take-up, forecast error, and whether the admin would go back.</w:t>
      </w:r>
    </w:p>
    <w:p>
      <w:pPr>
        <w:pStyle w:val="Heading3"/>
        <w:spacing w:after="100" w:before="200"/>
      </w:pPr>
      <w:r>
        <w:rPr>
          <w:rFonts w:ascii="Arial" w:cs="Arial" w:eastAsia="Arial" w:hAnsi="Arial"/>
          <w:b/>
          <w:bCs/>
          <w:color w:val="0F1F17"/>
          <w:sz w:val="24"/>
          <w:szCs w:val="24"/>
        </w:rPr>
        <w:t xml:space="preserve">Phase 1 — vertical specialists</w:t>
      </w:r>
    </w:p>
    <w:p>
      <w:pPr>
        <w:spacing w:after="160" w:before="0" w:line="276"/>
      </w:pPr>
      <w:r>
        <w:rPr>
          <w:rFonts w:ascii="Arial" w:cs="Arial" w:eastAsia="Arial" w:hAnsi="Arial"/>
          <w:color w:val="222222"/>
          <w:sz w:val="22"/>
          <w:szCs w:val="22"/>
        </w:rPr>
        <w:t xml:space="preserve">Outbound to operators. PE and franchise networks. Industry CPAs and bookkeepers who already see the missed credits. Sell the tax engine and the copilot. Implementation under 30 days or you do not deserve the account.</w:t>
      </w:r>
    </w:p>
    <w:p>
      <w:pPr>
        <w:pStyle w:val="Heading3"/>
        <w:spacing w:after="100" w:before="200"/>
      </w:pPr>
      <w:r>
        <w:rPr>
          <w:rFonts w:ascii="Arial" w:cs="Arial" w:eastAsia="Arial" w:hAnsi="Arial"/>
          <w:b/>
          <w:bCs/>
          <w:color w:val="0F1F17"/>
          <w:sz w:val="24"/>
          <w:szCs w:val="24"/>
        </w:rPr>
        <w:t xml:space="preserve">Phase 2 — employee pull</w:t>
      </w:r>
    </w:p>
    <w:p>
      <w:pPr>
        <w:spacing w:after="160" w:before="0" w:line="276"/>
      </w:pPr>
      <w:r>
        <w:rPr>
          <w:rFonts w:ascii="Arial" w:cs="Arial" w:eastAsia="Arial" w:hAnsi="Arial"/>
          <w:color w:val="222222"/>
          <w:sz w:val="22"/>
          <w:szCs w:val="22"/>
        </w:rPr>
        <w:t xml:space="preserve">EWA and the coach are live on day one. Workers ask management to switch. This is the only organic motion that has ever worked in this category at SMB scale.</w:t>
      </w:r>
    </w:p>
    <w:p>
      <w:pPr>
        <w:pStyle w:val="Heading3"/>
        <w:spacing w:after="100" w:before="200"/>
      </w:pPr>
      <w:r>
        <w:rPr>
          <w:rFonts w:ascii="Arial" w:cs="Arial" w:eastAsia="Arial" w:hAnsi="Arial"/>
          <w:b/>
          <w:bCs/>
          <w:color w:val="0F1F17"/>
          <w:sz w:val="24"/>
          <w:szCs w:val="24"/>
        </w:rPr>
        <w:t xml:space="preserve">Phase 3 — partner rails</w:t>
      </w:r>
    </w:p>
    <w:p>
      <w:pPr>
        <w:spacing w:after="160" w:before="0" w:line="276"/>
      </w:pPr>
      <w:r>
        <w:rPr>
          <w:rFonts w:ascii="Arial" w:cs="Arial" w:eastAsia="Arial" w:hAnsi="Arial"/>
          <w:color w:val="222222"/>
          <w:sz w:val="22"/>
          <w:szCs w:val="22"/>
        </w:rPr>
        <w:t xml:space="preserve">Accountants, select PEOs that want an AI layer rather than a rebuild, community banks, benefits brokers. Marketplace after the core loop is default.</w:t>
      </w:r>
    </w:p>
    <w:p>
      <w:pPr>
        <w:pStyle w:val="Heading2"/>
        <w:spacing w:after="140" w:before="280"/>
      </w:pPr>
      <w:r>
        <w:rPr>
          <w:rFonts w:ascii="Arial" w:cs="Arial" w:eastAsia="Arial" w:hAnsi="Arial"/>
          <w:b/>
          <w:bCs/>
          <w:color w:val="0B7A3B"/>
          <w:sz w:val="26"/>
          <w:szCs w:val="26"/>
        </w:rPr>
        <w:t xml:space="preserve">Sales motion</w:t>
      </w:r>
    </w:p>
    <w:p>
      <w:pPr>
        <w:pStyle w:val="ListParagraph"/>
        <w:numPr>
          <w:ilvl w:val="0"/>
          <w:numId w:val="2"/>
        </w:numPr>
        <w:spacing w:after="80" w:line="276"/>
      </w:pPr>
      <w:r>
        <w:rPr>
          <w:rFonts w:ascii="Arial" w:cs="Arial" w:eastAsia="Arial" w:hAnsi="Arial"/>
          <w:color w:val="222222"/>
          <w:sz w:val="22"/>
          <w:szCs w:val="22"/>
        </w:rPr>
        <w:t xml:space="preserve">Founder-led until 40 customers. Then vertical AEs, not generalist SaaS reps.</w:t>
      </w:r>
    </w:p>
    <w:p>
      <w:pPr>
        <w:pStyle w:val="ListParagraph"/>
        <w:numPr>
          <w:ilvl w:val="0"/>
          <w:numId w:val="2"/>
        </w:numPr>
        <w:spacing w:after="80" w:line="276"/>
      </w:pPr>
      <w:r>
        <w:rPr>
          <w:rFonts w:ascii="Arial" w:cs="Arial" w:eastAsia="Arial" w:hAnsi="Arial"/>
          <w:color w:val="222222"/>
          <w:sz w:val="22"/>
          <w:szCs w:val="22"/>
        </w:rPr>
        <w:t xml:space="preserve">Proof artifact in every deal: a credit scan and a dummy exception queue on last month’s data.</w:t>
      </w:r>
    </w:p>
    <w:p>
      <w:pPr>
        <w:pStyle w:val="ListParagraph"/>
        <w:numPr>
          <w:ilvl w:val="0"/>
          <w:numId w:val="2"/>
        </w:numPr>
        <w:spacing w:after="80" w:line="276"/>
      </w:pPr>
      <w:r>
        <w:rPr>
          <w:rFonts w:ascii="Arial" w:cs="Arial" w:eastAsia="Arial" w:hAnsi="Arial"/>
          <w:color w:val="222222"/>
          <w:sz w:val="22"/>
          <w:szCs w:val="22"/>
        </w:rPr>
        <w:t xml:space="preserve">Lose fast if they need global entities, union bargaining in 20 locals, or a two-year IT program.</w:t>
      </w:r>
    </w:p>
    <w:p>
      <w:pPr>
        <w:pStyle w:val="Heading1"/>
        <w:pBdr>
          <w:bottom w:val="single" w:color="0B7A3B" w:sz="12" w:space="8"/>
        </w:pBdr>
        <w:spacing w:after="200" w:before="360"/>
      </w:pPr>
      <w:r>
        <w:rPr>
          <w:rFonts w:ascii="Arial" w:cs="Arial" w:eastAsia="Arial" w:hAnsi="Arial"/>
          <w:b/>
          <w:bCs/>
          <w:color w:val="0F1F17"/>
          <w:sz w:val="32"/>
          <w:szCs w:val="32"/>
        </w:rPr>
        <w:t xml:space="preserve">10. Competition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4"/>
              <w:left w:val="single" w:color="CCCCCC" w:sz="4"/>
              <w:bottom w:val="single" w:color="CCCCCC" w:sz="4"/>
              <w:right w:val="single" w:color="CCCCCC" w:sz="4"/>
            </w:tcBorders>
            <w:shd w:fill="0F1F17" w:val="clear"/>
            <w:tcMar>
              <w:top w:type="dxa" w:w="60"/>
              <w:left w:type="dxa" w:w="80"/>
              <w:bottom w:type="dxa" w:w="60"/>
              <w:right w:type="dxa" w:w="80"/>
            </w:tcMar>
            <w:vAlign w:val="center"/>
          </w:tcPr>
          <w:p>
            <w:r>
              <w:rPr>
                <w:rFonts w:ascii="Arial" w:cs="Arial" w:eastAsia="Arial" w:hAnsi="Arial"/>
                <w:b/>
                <w:bCs/>
                <w:color w:val="FFFFFF"/>
                <w:sz w:val="18"/>
                <w:szCs w:val="18"/>
              </w:rPr>
              <w:t xml:space="preserve">Player</w:t>
            </w:r>
          </w:p>
        </w:tc>
        <w:tc>
          <w:tcPr>
            <w:tcW w:type="dxa" w:w="3200"/>
            <w:tcBorders>
              <w:top w:val="single" w:color="CCCCCC" w:sz="4"/>
              <w:left w:val="single" w:color="CCCCCC" w:sz="4"/>
              <w:bottom w:val="single" w:color="CCCCCC" w:sz="4"/>
              <w:right w:val="single" w:color="CCCCCC" w:sz="4"/>
            </w:tcBorders>
            <w:shd w:fill="0F1F17" w:val="clear"/>
            <w:tcMar>
              <w:top w:type="dxa" w:w="60"/>
              <w:left w:type="dxa" w:w="80"/>
              <w:bottom w:type="dxa" w:w="60"/>
              <w:right w:type="dxa" w:w="80"/>
            </w:tcMar>
            <w:vAlign w:val="center"/>
          </w:tcPr>
          <w:p>
            <w:r>
              <w:rPr>
                <w:rFonts w:ascii="Arial" w:cs="Arial" w:eastAsia="Arial" w:hAnsi="Arial"/>
                <w:b/>
                <w:bCs/>
                <w:color w:val="FFFFFF"/>
                <w:sz w:val="18"/>
                <w:szCs w:val="18"/>
              </w:rPr>
              <w:t xml:space="preserve">What they are</w:t>
            </w:r>
          </w:p>
        </w:tc>
        <w:tc>
          <w:tcPr>
            <w:tcW w:type="dxa" w:w="3960"/>
            <w:tcBorders>
              <w:top w:val="single" w:color="CCCCCC" w:sz="4"/>
              <w:left w:val="single" w:color="CCCCCC" w:sz="4"/>
              <w:bottom w:val="single" w:color="CCCCCC" w:sz="4"/>
              <w:right w:val="single" w:color="CCCCCC" w:sz="4"/>
            </w:tcBorders>
            <w:shd w:fill="0F1F17" w:val="clear"/>
            <w:tcMar>
              <w:top w:type="dxa" w:w="60"/>
              <w:left w:type="dxa" w:w="80"/>
              <w:bottom w:type="dxa" w:w="60"/>
              <w:right w:type="dxa" w:w="80"/>
            </w:tcMar>
            <w:vAlign w:val="center"/>
          </w:tcPr>
          <w:p>
            <w:r>
              <w:rPr>
                <w:rFonts w:ascii="Arial" w:cs="Arial" w:eastAsia="Arial" w:hAnsi="Arial"/>
                <w:b/>
                <w:bCs/>
                <w:color w:val="FFFFFF"/>
                <w:sz w:val="18"/>
                <w:szCs w:val="18"/>
              </w:rPr>
              <w:t xml:space="preserve">Where Aether is different</w:t>
            </w:r>
          </w:p>
        </w:tc>
      </w:tr>
      <w:tr>
        <w:tc>
          <w:tcPr>
            <w:tcW w:type="dxa" w:w="2200"/>
            <w:tcBorders>
              <w:top w:val="single" w:color="CCCCCC" w:sz="4"/>
              <w:left w:val="single" w:color="CCCCCC" w:sz="4"/>
              <w:bottom w:val="single" w:color="CCCCCC" w:sz="4"/>
              <w:right w:val="single" w:color="CCCCCC" w:sz="4"/>
            </w:tcBorders>
            <w:shd w:fill="F4F5F3" w:val="clear"/>
            <w:tcMar>
              <w:top w:type="dxa" w:w="60"/>
              <w:left w:type="dxa" w:w="80"/>
              <w:bottom w:type="dxa" w:w="60"/>
              <w:right w:type="dxa" w:w="80"/>
            </w:tcMar>
            <w:vAlign w:val="center"/>
          </w:tcPr>
          <w:p>
            <w:r>
              <w:rPr>
                <w:rFonts w:ascii="Arial" w:cs="Arial" w:eastAsia="Arial" w:hAnsi="Arial"/>
                <w:b/>
                <w:bCs/>
                <w:color w:val="222222"/>
                <w:sz w:val="18"/>
                <w:szCs w:val="18"/>
              </w:rPr>
              <w:t xml:space="preserve">ADP / Paychex</w:t>
            </w:r>
          </w:p>
        </w:tc>
        <w:tc>
          <w:tcPr>
            <w:tcW w:type="dxa" w:w="3200"/>
            <w:tcBorders>
              <w:top w:val="single" w:color="CCCCCC" w:sz="4"/>
              <w:left w:val="single" w:color="CCCCCC" w:sz="4"/>
              <w:bottom w:val="single" w:color="CCCCCC" w:sz="4"/>
              <w:right w:val="single" w:color="CCCCCC" w:sz="4"/>
            </w:tcBorders>
            <w:shd w:fill="F4F5F3"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Compliance depth, brand, distribution</w:t>
            </w:r>
          </w:p>
        </w:tc>
        <w:tc>
          <w:tcPr>
            <w:tcW w:type="dxa" w:w="3960"/>
            <w:tcBorders>
              <w:top w:val="single" w:color="CCCCCC" w:sz="4"/>
              <w:left w:val="single" w:color="CCCCCC" w:sz="4"/>
              <w:bottom w:val="single" w:color="CCCCCC" w:sz="4"/>
              <w:right w:val="single" w:color="CCCCCC" w:sz="4"/>
            </w:tcBorders>
            <w:shd w:fill="F4F5F3"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Generic at 50–500; AI is assist, not operator</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bCs/>
                <w:color w:val="222222"/>
                <w:sz w:val="18"/>
                <w:szCs w:val="18"/>
              </w:rPr>
              <w:t xml:space="preserve">Gusto</w:t>
            </w:r>
          </w:p>
        </w:tc>
        <w:tc>
          <w:tcPr>
            <w:tcW w:type="dxa" w:w="3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Easiest SMB onboarding</w:t>
            </w:r>
          </w:p>
        </w:tc>
        <w:tc>
          <w:tcPr>
            <w:tcW w:type="dxa" w:w="39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Thins out when OT, multi-state, trades get real</w:t>
            </w:r>
          </w:p>
        </w:tc>
      </w:tr>
      <w:tr>
        <w:tc>
          <w:tcPr>
            <w:tcW w:type="dxa" w:w="2200"/>
            <w:tcBorders>
              <w:top w:val="single" w:color="CCCCCC" w:sz="4"/>
              <w:left w:val="single" w:color="CCCCCC" w:sz="4"/>
              <w:bottom w:val="single" w:color="CCCCCC" w:sz="4"/>
              <w:right w:val="single" w:color="CCCCCC" w:sz="4"/>
            </w:tcBorders>
            <w:shd w:fill="F4F5F3" w:val="clear"/>
            <w:tcMar>
              <w:top w:type="dxa" w:w="60"/>
              <w:left w:type="dxa" w:w="80"/>
              <w:bottom w:type="dxa" w:w="60"/>
              <w:right w:type="dxa" w:w="80"/>
            </w:tcMar>
            <w:vAlign w:val="center"/>
          </w:tcPr>
          <w:p>
            <w:r>
              <w:rPr>
                <w:rFonts w:ascii="Arial" w:cs="Arial" w:eastAsia="Arial" w:hAnsi="Arial"/>
                <w:b/>
                <w:bCs/>
                <w:color w:val="222222"/>
                <w:sz w:val="18"/>
                <w:szCs w:val="18"/>
              </w:rPr>
              <w:t xml:space="preserve">Rippling</w:t>
            </w:r>
          </w:p>
        </w:tc>
        <w:tc>
          <w:tcPr>
            <w:tcW w:type="dxa" w:w="3200"/>
            <w:tcBorders>
              <w:top w:val="single" w:color="CCCCCC" w:sz="4"/>
              <w:left w:val="single" w:color="CCCCCC" w:sz="4"/>
              <w:bottom w:val="single" w:color="CCCCCC" w:sz="4"/>
              <w:right w:val="single" w:color="CCCCCC" w:sz="4"/>
            </w:tcBorders>
            <w:shd w:fill="F4F5F3"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Unified employee record + IT</w:t>
            </w:r>
          </w:p>
        </w:tc>
        <w:tc>
          <w:tcPr>
            <w:tcW w:type="dxa" w:w="3960"/>
            <w:tcBorders>
              <w:top w:val="single" w:color="CCCCCC" w:sz="4"/>
              <w:left w:val="single" w:color="CCCCCC" w:sz="4"/>
              <w:bottom w:val="single" w:color="CCCCCC" w:sz="4"/>
              <w:right w:val="single" w:color="CCCCCC" w:sz="4"/>
            </w:tcBorders>
            <w:shd w:fill="F4F5F3"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System of record, not labor-cost OS for dirty industries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bCs/>
                <w:color w:val="222222"/>
                <w:sz w:val="18"/>
                <w:szCs w:val="18"/>
              </w:rPr>
              <w:t xml:space="preserve">Warp</w:t>
            </w:r>
          </w:p>
        </w:tc>
        <w:tc>
          <w:tcPr>
            <w:tcW w:type="dxa" w:w="3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AI-native payroll/HR/IT</w:t>
            </w:r>
          </w:p>
        </w:tc>
        <w:tc>
          <w:tcPr>
            <w:tcW w:type="dxa" w:w="39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Aimed at tech companies, not home care and jobsites</w:t>
            </w:r>
          </w:p>
        </w:tc>
      </w:tr>
      <w:tr>
        <w:tc>
          <w:tcPr>
            <w:tcW w:type="dxa" w:w="2200"/>
            <w:tcBorders>
              <w:top w:val="single" w:color="CCCCCC" w:sz="4"/>
              <w:left w:val="single" w:color="CCCCCC" w:sz="4"/>
              <w:bottom w:val="single" w:color="CCCCCC" w:sz="4"/>
              <w:right w:val="single" w:color="CCCCCC" w:sz="4"/>
            </w:tcBorders>
            <w:shd w:fill="F4F5F3" w:val="clear"/>
            <w:tcMar>
              <w:top w:type="dxa" w:w="60"/>
              <w:left w:type="dxa" w:w="80"/>
              <w:bottom w:type="dxa" w:w="60"/>
              <w:right w:type="dxa" w:w="80"/>
            </w:tcMar>
            <w:vAlign w:val="center"/>
          </w:tcPr>
          <w:p>
            <w:r>
              <w:rPr>
                <w:rFonts w:ascii="Arial" w:cs="Arial" w:eastAsia="Arial" w:hAnsi="Arial"/>
                <w:b/>
                <w:bCs/>
                <w:color w:val="222222"/>
                <w:sz w:val="18"/>
                <w:szCs w:val="18"/>
              </w:rPr>
              <w:t xml:space="preserve">DailyPay / Branch</w:t>
            </w:r>
          </w:p>
        </w:tc>
        <w:tc>
          <w:tcPr>
            <w:tcW w:type="dxa" w:w="3200"/>
            <w:tcBorders>
              <w:top w:val="single" w:color="CCCCCC" w:sz="4"/>
              <w:left w:val="single" w:color="CCCCCC" w:sz="4"/>
              <w:bottom w:val="single" w:color="CCCCCC" w:sz="4"/>
              <w:right w:val="single" w:color="CCCCCC" w:sz="4"/>
            </w:tcBorders>
            <w:shd w:fill="F4F5F3"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EWA leaders</w:t>
            </w:r>
          </w:p>
        </w:tc>
        <w:tc>
          <w:tcPr>
            <w:tcW w:type="dxa" w:w="3960"/>
            <w:tcBorders>
              <w:top w:val="single" w:color="CCCCCC" w:sz="4"/>
              <w:left w:val="single" w:color="CCCCCC" w:sz="4"/>
              <w:bottom w:val="single" w:color="CCCCCC" w:sz="4"/>
              <w:right w:val="single" w:color="CCCCCC" w:sz="4"/>
            </w:tcBorders>
            <w:shd w:fill="F4F5F3"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Overlay, consumer-fee DNA, not the system of record</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bCs/>
                <w:color w:val="222222"/>
                <w:sz w:val="18"/>
                <w:szCs w:val="18"/>
              </w:rPr>
              <w:t xml:space="preserve">Credit consultants</w:t>
            </w:r>
          </w:p>
        </w:tc>
        <w:tc>
          <w:tcPr>
            <w:tcW w:type="dxa" w:w="3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Find WOTC and state credits</w:t>
            </w:r>
          </w:p>
        </w:tc>
        <w:tc>
          <w:tcPr>
            <w:tcW w:type="dxa" w:w="39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Not inside the pay run; not continuous</w:t>
            </w:r>
          </w:p>
        </w:tc>
      </w:tr>
    </w:tbl>
    <w:p>
      <w:pPr>
        <w:spacing w:after="160" w:before="0" w:line="276"/>
      </w:pPr>
      <w:r>
        <w:rPr>
          <w:rFonts w:ascii="Arial" w:cs="Arial" w:eastAsia="Arial" w:hAnsi="Arial"/>
          <w:color w:val="222222"/>
          <w:sz w:val="22"/>
          <w:szCs w:val="22"/>
        </w:rPr>
        <w:t xml:space="preserve"/>
      </w:r>
    </w:p>
    <w:p>
      <w:pPr>
        <w:spacing w:after="160" w:before="0" w:line="276"/>
      </w:pPr>
      <w:r>
        <w:rPr>
          <w:rFonts w:ascii="Arial" w:cs="Arial" w:eastAsia="Arial" w:hAnsi="Arial"/>
          <w:color w:val="222222"/>
          <w:sz w:val="22"/>
          <w:szCs w:val="22"/>
        </w:rPr>
        <w:t xml:space="preserve">The honest threat is not one competitor. It is Rippling shipping a decent copilot plus ADP bundling EWA plus a vertical specialist in construction payroll doing “good enough.” The answer is the bundle and the data graph, not a single feature.</w:t>
      </w:r>
    </w:p>
    <w:p>
      <w:pPr>
        <w:pStyle w:val="Heading1"/>
        <w:pBdr>
          <w:bottom w:val="single" w:color="0B7A3B" w:sz="12" w:space="8"/>
        </w:pBdr>
        <w:spacing w:after="200" w:before="360"/>
      </w:pPr>
      <w:r>
        <w:rPr>
          <w:rFonts w:ascii="Arial" w:cs="Arial" w:eastAsia="Arial" w:hAnsi="Arial"/>
          <w:b/>
          <w:bCs/>
          <w:color w:val="0F1F17"/>
          <w:sz w:val="32"/>
          <w:szCs w:val="32"/>
        </w:rPr>
        <w:t xml:space="preserve">11. Moat</w:t>
      </w:r>
    </w:p>
    <w:p>
      <w:pPr>
        <w:spacing w:after="160" w:before="0" w:line="276"/>
      </w:pPr>
      <w:r>
        <w:rPr>
          <w:rFonts w:ascii="Arial" w:cs="Arial" w:eastAsia="Arial" w:hAnsi="Arial"/>
          <w:color w:val="222222"/>
          <w:sz w:val="22"/>
          <w:szCs w:val="22"/>
        </w:rPr>
        <w:t xml:space="preserve">Not the ACH file. The moat is proprietary workforce intelligence that compounds.</w:t>
      </w:r>
    </w:p>
    <w:p>
      <w:pPr>
        <w:pStyle w:val="ListParagraph"/>
        <w:numPr>
          <w:ilvl w:val="0"/>
          <w:numId w:val="2"/>
        </w:numPr>
        <w:spacing w:after="80" w:line="276"/>
      </w:pPr>
      <w:r>
        <w:rPr>
          <w:rFonts w:ascii="Arial" w:cs="Arial" w:eastAsia="Arial" w:hAnsi="Arial"/>
          <w:color w:val="222222"/>
          <w:sz w:val="22"/>
          <w:szCs w:val="22"/>
        </w:rPr>
        <w:t xml:space="preserve">Compensation graph: role × metro × industry × tenure, built from paid wages, OT, and differentials — not scraped job posts.</w:t>
      </w:r>
    </w:p>
    <w:p>
      <w:pPr>
        <w:pStyle w:val="ListParagraph"/>
        <w:numPr>
          <w:ilvl w:val="0"/>
          <w:numId w:val="2"/>
        </w:numPr>
        <w:spacing w:after="80" w:line="276"/>
      </w:pPr>
      <w:r>
        <w:rPr>
          <w:rFonts w:ascii="Arial" w:cs="Arial" w:eastAsia="Arial" w:hAnsi="Arial"/>
          <w:color w:val="222222"/>
          <w:sz w:val="22"/>
          <w:szCs w:val="22"/>
        </w:rPr>
        <w:t xml:space="preserve">Turnover models trained on hours volatility, EWA stress use, comp gap, and schedule instability.</w:t>
      </w:r>
    </w:p>
    <w:p>
      <w:pPr>
        <w:pStyle w:val="ListParagraph"/>
        <w:numPr>
          <w:ilvl w:val="0"/>
          <w:numId w:val="2"/>
        </w:numPr>
        <w:spacing w:after="80" w:line="276"/>
      </w:pPr>
      <w:r>
        <w:rPr>
          <w:rFonts w:ascii="Arial" w:cs="Arial" w:eastAsia="Arial" w:hAnsi="Arial"/>
          <w:color w:val="222222"/>
          <w:sz w:val="22"/>
          <w:szCs w:val="22"/>
        </w:rPr>
        <w:t xml:space="preserve">Labor-cost forecasts that have been right for enough quarters that a CFO will not rip them out.</w:t>
      </w:r>
    </w:p>
    <w:p>
      <w:pPr>
        <w:pStyle w:val="ListParagraph"/>
        <w:numPr>
          <w:ilvl w:val="0"/>
          <w:numId w:val="2"/>
        </w:numPr>
        <w:spacing w:after="80" w:line="276"/>
      </w:pPr>
      <w:r>
        <w:rPr>
          <w:rFonts w:ascii="Arial" w:cs="Arial" w:eastAsia="Arial" w:hAnsi="Arial"/>
          <w:color w:val="222222"/>
          <w:sz w:val="22"/>
          <w:szCs w:val="22"/>
        </w:rPr>
        <w:t xml:space="preserve">A compliance graph tied to actual punches and CBAs in five verticals.</w:t>
      </w:r>
    </w:p>
    <w:p>
      <w:pPr>
        <w:pStyle w:val="ListParagraph"/>
        <w:numPr>
          <w:ilvl w:val="0"/>
          <w:numId w:val="2"/>
        </w:numPr>
        <w:spacing w:after="80" w:line="276"/>
      </w:pPr>
      <w:r>
        <w:rPr>
          <w:rFonts w:ascii="Arial" w:cs="Arial" w:eastAsia="Arial" w:hAnsi="Arial"/>
          <w:color w:val="222222"/>
          <w:sz w:val="22"/>
          <w:szCs w:val="22"/>
        </w:rPr>
        <w:t xml:space="preserve">A credit inventory of what was actually claimed and collected, with documentation patterns.</w:t>
      </w:r>
    </w:p>
    <w:p>
      <w:pPr>
        <w:pStyle w:val="ListParagraph"/>
        <w:numPr>
          <w:ilvl w:val="0"/>
          <w:numId w:val="2"/>
        </w:numPr>
        <w:spacing w:after="80" w:line="276"/>
      </w:pPr>
      <w:r>
        <w:rPr>
          <w:rFonts w:ascii="Arial" w:cs="Arial" w:eastAsia="Arial" w:hAnsi="Arial"/>
          <w:color w:val="222222"/>
          <w:sz w:val="22"/>
          <w:szCs w:val="22"/>
        </w:rPr>
        <w:t xml:space="preserve">Switching gravity once employees live in the app for pay and earned wages.</w:t>
      </w:r>
    </w:p>
    <w:p>
      <w:pPr>
        <w:spacing w:after="160" w:before="0" w:line="276"/>
      </w:pPr>
      <w:r>
        <w:rPr>
          <w:rFonts w:ascii="Arial" w:cs="Arial" w:eastAsia="Arial" w:hAnsi="Arial"/>
          <w:color w:val="222222"/>
          <w:sz w:val="22"/>
          <w:szCs w:val="22"/>
        </w:rPr>
        <w:t xml:space="preserve">None of this exists on day one. Saying “our moat is data” before you have customers is a slogan. The operating plan is: design-partner volume, labeled exceptions, labeled exits, labeled credits. That is the dataset.</w:t>
      </w:r>
    </w:p>
    <w:p>
      <w:pPr>
        <w:pStyle w:val="Heading1"/>
        <w:pBdr>
          <w:bottom w:val="single" w:color="0B7A3B" w:sz="12" w:space="8"/>
        </w:pBdr>
        <w:spacing w:after="200" w:before="360"/>
      </w:pPr>
      <w:r>
        <w:rPr>
          <w:rFonts w:ascii="Arial" w:cs="Arial" w:eastAsia="Arial" w:hAnsi="Arial"/>
          <w:b/>
          <w:bCs/>
          <w:color w:val="0F1F17"/>
          <w:sz w:val="32"/>
          <w:szCs w:val="32"/>
        </w:rPr>
        <w:t xml:space="preserve">12. Unit economics a customer can feel</w:t>
      </w:r>
    </w:p>
    <w:p>
      <w:pPr>
        <w:spacing w:after="160" w:before="0" w:line="276"/>
      </w:pPr>
      <w:r>
        <w:rPr>
          <w:rFonts w:ascii="Arial" w:cs="Arial" w:eastAsia="Arial" w:hAnsi="Arial"/>
          <w:color w:val="222222"/>
          <w:sz w:val="22"/>
          <w:szCs w:val="22"/>
        </w:rPr>
        <w:t xml:space="preserve">Illustrative 180-employee construction firm. Directional, not a 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4"/>
              <w:left w:val="single" w:color="CCCCCC" w:sz="4"/>
              <w:bottom w:val="single" w:color="CCCCCC" w:sz="4"/>
              <w:right w:val="single" w:color="CCCCCC" w:sz="4"/>
            </w:tcBorders>
            <w:shd w:fill="0F1F17" w:val="clear"/>
            <w:tcMar>
              <w:top w:type="dxa" w:w="60"/>
              <w:left w:type="dxa" w:w="80"/>
              <w:bottom w:type="dxa" w:w="60"/>
              <w:right w:type="dxa" w:w="80"/>
            </w:tcMar>
            <w:vAlign w:val="center"/>
          </w:tcPr>
          <w:p>
            <w:r>
              <w:rPr>
                <w:rFonts w:ascii="Arial" w:cs="Arial" w:eastAsia="Arial" w:hAnsi="Arial"/>
                <w:b/>
                <w:bCs/>
                <w:color w:val="FFFFFF"/>
                <w:sz w:val="18"/>
                <w:szCs w:val="18"/>
              </w:rPr>
              <w:t xml:space="preserve">Line</w:t>
            </w:r>
          </w:p>
        </w:tc>
        <w:tc>
          <w:tcPr>
            <w:tcW w:type="dxa" w:w="4000"/>
            <w:tcBorders>
              <w:top w:val="single" w:color="CCCCCC" w:sz="4"/>
              <w:left w:val="single" w:color="CCCCCC" w:sz="4"/>
              <w:bottom w:val="single" w:color="CCCCCC" w:sz="4"/>
              <w:right w:val="single" w:color="CCCCCC" w:sz="4"/>
            </w:tcBorders>
            <w:shd w:fill="0F1F17" w:val="clear"/>
            <w:tcMar>
              <w:top w:type="dxa" w:w="60"/>
              <w:left w:type="dxa" w:w="80"/>
              <w:bottom w:type="dxa" w:w="60"/>
              <w:right w:type="dxa" w:w="80"/>
            </w:tcMar>
            <w:vAlign w:val="center"/>
          </w:tcPr>
          <w:p>
            <w:r>
              <w:rPr>
                <w:rFonts w:ascii="Arial" w:cs="Arial" w:eastAsia="Arial" w:hAnsi="Arial"/>
                <w:b/>
                <w:bCs/>
                <w:color w:val="FFFFFF"/>
                <w:sz w:val="18"/>
                <w:szCs w:val="18"/>
              </w:rPr>
              <w:t xml:space="preserve">Math</w:t>
            </w:r>
          </w:p>
        </w:tc>
        <w:tc>
          <w:tcPr>
            <w:tcW w:type="dxa" w:w="3160"/>
            <w:tcBorders>
              <w:top w:val="single" w:color="CCCCCC" w:sz="4"/>
              <w:left w:val="single" w:color="CCCCCC" w:sz="4"/>
              <w:bottom w:val="single" w:color="CCCCCC" w:sz="4"/>
              <w:right w:val="single" w:color="CCCCCC" w:sz="4"/>
            </w:tcBorders>
            <w:shd w:fill="0F1F17" w:val="clear"/>
            <w:tcMar>
              <w:top w:type="dxa" w:w="60"/>
              <w:left w:type="dxa" w:w="80"/>
              <w:bottom w:type="dxa" w:w="60"/>
              <w:right w:type="dxa" w:w="80"/>
            </w:tcMar>
            <w:vAlign w:val="center"/>
          </w:tcPr>
          <w:p>
            <w:r>
              <w:rPr>
                <w:rFonts w:ascii="Arial" w:cs="Arial" w:eastAsia="Arial" w:hAnsi="Arial"/>
                <w:b/>
                <w:bCs/>
                <w:color w:val="FFFFFF"/>
                <w:sz w:val="18"/>
                <w:szCs w:val="18"/>
              </w:rPr>
              <w:t xml:space="preserve">Why it matters</w:t>
            </w:r>
          </w:p>
        </w:tc>
      </w:tr>
      <w:tr>
        <w:tc>
          <w:tcPr>
            <w:tcW w:type="dxa" w:w="2200"/>
            <w:tcBorders>
              <w:top w:val="single" w:color="CCCCCC" w:sz="4"/>
              <w:left w:val="single" w:color="CCCCCC" w:sz="4"/>
              <w:bottom w:val="single" w:color="CCCCCC" w:sz="4"/>
              <w:right w:val="single" w:color="CCCCCC" w:sz="4"/>
            </w:tcBorders>
            <w:shd w:fill="F4F5F3" w:val="clear"/>
            <w:tcMar>
              <w:top w:type="dxa" w:w="60"/>
              <w:left w:type="dxa" w:w="80"/>
              <w:bottom w:type="dxa" w:w="60"/>
              <w:right w:type="dxa" w:w="80"/>
            </w:tcMar>
            <w:vAlign w:val="center"/>
          </w:tcPr>
          <w:p>
            <w:r>
              <w:rPr>
                <w:rFonts w:ascii="Arial" w:cs="Arial" w:eastAsia="Arial" w:hAnsi="Arial"/>
                <w:b/>
                <w:bCs/>
                <w:color w:val="222222"/>
                <w:sz w:val="18"/>
                <w:szCs w:val="18"/>
              </w:rPr>
              <w:t xml:space="preserve">Software</w:t>
            </w:r>
          </w:p>
        </w:tc>
        <w:tc>
          <w:tcPr>
            <w:tcW w:type="dxa" w:w="4000"/>
            <w:tcBorders>
              <w:top w:val="single" w:color="CCCCCC" w:sz="4"/>
              <w:left w:val="single" w:color="CCCCCC" w:sz="4"/>
              <w:bottom w:val="single" w:color="CCCCCC" w:sz="4"/>
              <w:right w:val="single" w:color="CCCCCC" w:sz="4"/>
            </w:tcBorders>
            <w:shd w:fill="F4F5F3"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180 × $10 × 12 = $21,600/yr</w:t>
            </w:r>
          </w:p>
        </w:tc>
        <w:tc>
          <w:tcPr>
            <w:tcW w:type="dxa" w:w="3160"/>
            <w:tcBorders>
              <w:top w:val="single" w:color="CCCCCC" w:sz="4"/>
              <w:left w:val="single" w:color="CCCCCC" w:sz="4"/>
              <w:bottom w:val="single" w:color="CCCCCC" w:sz="4"/>
              <w:right w:val="single" w:color="CCCCCC" w:sz="4"/>
            </w:tcBorders>
            <w:shd w:fill="F4F5F3"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Below quoted mid-market stacks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bCs/>
                <w:color w:val="222222"/>
                <w:sz w:val="18"/>
                <w:szCs w:val="18"/>
              </w:rPr>
              <w:t xml:space="preserve">Credits</w:t>
            </w:r>
          </w:p>
        </w:tc>
        <w:tc>
          <w:tcPr>
            <w:tcW w:type="dxa" w:w="40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$18k–$60k if WOTC + state + training hit</w:t>
            </w:r>
          </w:p>
        </w:tc>
        <w:tc>
          <w:tcPr>
            <w:tcW w:type="dxa" w:w="31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Often funds the seat</w:t>
            </w:r>
          </w:p>
        </w:tc>
      </w:tr>
      <w:tr>
        <w:tc>
          <w:tcPr>
            <w:tcW w:type="dxa" w:w="2200"/>
            <w:tcBorders>
              <w:top w:val="single" w:color="CCCCCC" w:sz="4"/>
              <w:left w:val="single" w:color="CCCCCC" w:sz="4"/>
              <w:bottom w:val="single" w:color="CCCCCC" w:sz="4"/>
              <w:right w:val="single" w:color="CCCCCC" w:sz="4"/>
            </w:tcBorders>
            <w:shd w:fill="F4F5F3" w:val="clear"/>
            <w:tcMar>
              <w:top w:type="dxa" w:w="60"/>
              <w:left w:type="dxa" w:w="80"/>
              <w:bottom w:type="dxa" w:w="60"/>
              <w:right w:type="dxa" w:w="80"/>
            </w:tcMar>
            <w:vAlign w:val="center"/>
          </w:tcPr>
          <w:p>
            <w:r>
              <w:rPr>
                <w:rFonts w:ascii="Arial" w:cs="Arial" w:eastAsia="Arial" w:hAnsi="Arial"/>
                <w:b/>
                <w:bCs/>
                <w:color w:val="222222"/>
                <w:sz w:val="18"/>
                <w:szCs w:val="18"/>
              </w:rPr>
              <w:t xml:space="preserve">Admin time</w:t>
            </w:r>
          </w:p>
        </w:tc>
        <w:tc>
          <w:tcPr>
            <w:tcW w:type="dxa" w:w="4000"/>
            <w:tcBorders>
              <w:top w:val="single" w:color="CCCCCC" w:sz="4"/>
              <w:left w:val="single" w:color="CCCCCC" w:sz="4"/>
              <w:bottom w:val="single" w:color="CCCCCC" w:sz="4"/>
              <w:right w:val="single" w:color="CCCCCC" w:sz="4"/>
            </w:tcBorders>
            <w:shd w:fill="F4F5F3"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3–6 hrs/cycle × 26 × ~$45 loaded</w:t>
            </w:r>
          </w:p>
        </w:tc>
        <w:tc>
          <w:tcPr>
            <w:tcW w:type="dxa" w:w="3160"/>
            <w:tcBorders>
              <w:top w:val="single" w:color="CCCCCC" w:sz="4"/>
              <w:left w:val="single" w:color="CCCCCC" w:sz="4"/>
              <w:bottom w:val="single" w:color="CCCCCC" w:sz="4"/>
              <w:right w:val="single" w:color="CCCCCC" w:sz="4"/>
            </w:tcBorders>
            <w:shd w:fill="F4F5F3"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$3.5k–$7k back</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bCs/>
                <w:color w:val="222222"/>
                <w:sz w:val="18"/>
                <w:szCs w:val="18"/>
              </w:rPr>
              <w:t xml:space="preserve">One avoided quit</w:t>
            </w:r>
          </w:p>
        </w:tc>
        <w:tc>
          <w:tcPr>
            <w:tcW w:type="dxa" w:w="40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Hourly replacement $8k–$15k fully loaded</w:t>
            </w:r>
          </w:p>
        </w:tc>
        <w:tc>
          <w:tcPr>
            <w:tcW w:type="dxa" w:w="31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One save covers years</w:t>
            </w:r>
          </w:p>
        </w:tc>
      </w:tr>
      <w:tr>
        <w:tc>
          <w:tcPr>
            <w:tcW w:type="dxa" w:w="2200"/>
            <w:tcBorders>
              <w:top w:val="single" w:color="CCCCCC" w:sz="4"/>
              <w:left w:val="single" w:color="CCCCCC" w:sz="4"/>
              <w:bottom w:val="single" w:color="CCCCCC" w:sz="4"/>
              <w:right w:val="single" w:color="CCCCCC" w:sz="4"/>
            </w:tcBorders>
            <w:shd w:fill="F4F5F3" w:val="clear"/>
            <w:tcMar>
              <w:top w:type="dxa" w:w="60"/>
              <w:left w:type="dxa" w:w="80"/>
              <w:bottom w:type="dxa" w:w="60"/>
              <w:right w:type="dxa" w:w="80"/>
            </w:tcMar>
            <w:vAlign w:val="center"/>
          </w:tcPr>
          <w:p>
            <w:r>
              <w:rPr>
                <w:rFonts w:ascii="Arial" w:cs="Arial" w:eastAsia="Arial" w:hAnsi="Arial"/>
                <w:b/>
                <w:bCs/>
                <w:color w:val="222222"/>
                <w:sz w:val="18"/>
                <w:szCs w:val="18"/>
              </w:rPr>
              <w:t xml:space="preserve">EWA</w:t>
            </w:r>
          </w:p>
        </w:tc>
        <w:tc>
          <w:tcPr>
            <w:tcW w:type="dxa" w:w="4000"/>
            <w:tcBorders>
              <w:top w:val="single" w:color="CCCCCC" w:sz="4"/>
              <w:left w:val="single" w:color="CCCCCC" w:sz="4"/>
              <w:bottom w:val="single" w:color="CCCCCC" w:sz="4"/>
              <w:right w:val="single" w:color="CCCCCC" w:sz="4"/>
            </w:tcBorders>
            <w:shd w:fill="F4F5F3"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Float + small fee, employer-controlled</w:t>
            </w:r>
          </w:p>
        </w:tc>
        <w:tc>
          <w:tcPr>
            <w:tcW w:type="dxa" w:w="3160"/>
            <w:tcBorders>
              <w:top w:val="single" w:color="CCCCCC" w:sz="4"/>
              <w:left w:val="single" w:color="CCCCCC" w:sz="4"/>
              <w:bottom w:val="single" w:color="CCCCCC" w:sz="4"/>
              <w:right w:val="single" w:color="CCCCCC" w:sz="4"/>
            </w:tcBorders>
            <w:shd w:fill="F4F5F3"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Recruiting, not interest income</w:t>
            </w:r>
          </w:p>
        </w:tc>
      </w:tr>
    </w:tbl>
    <w:p>
      <w:pPr>
        <w:spacing w:after="160" w:before="0" w:line="276"/>
      </w:pPr>
      <w:r>
        <w:rPr>
          <w:rFonts w:ascii="Arial" w:cs="Arial" w:eastAsia="Arial" w:hAnsi="Arial"/>
          <w:color w:val="222222"/>
          <w:sz w:val="22"/>
          <w:szCs w:val="22"/>
        </w:rPr>
        <w:t xml:space="preserve"/>
      </w:r>
    </w:p>
    <w:p>
      <w:pPr>
        <w:spacing w:after="160" w:before="0" w:line="276"/>
      </w:pPr>
      <w:r>
        <w:rPr>
          <w:rFonts w:ascii="Arial" w:cs="Arial" w:eastAsia="Arial" w:hAnsi="Arial"/>
          <w:color w:val="222222"/>
          <w:sz w:val="22"/>
          <w:szCs w:val="22"/>
        </w:rPr>
        <w:t xml:space="preserve">Internal target once scaled: gross margin in the mid-70s on software PEPM, lower blended when EWA float and credit-share are included. Do not tell a Series A story off credit-share; policy can delete a credit. Software PEPM has to stand alone.</w:t>
      </w:r>
    </w:p>
    <w:p>
      <w:pPr>
        <w:pStyle w:val="Heading1"/>
        <w:pBdr>
          <w:bottom w:val="single" w:color="0B7A3B" w:sz="12" w:space="8"/>
        </w:pBdr>
        <w:spacing w:after="200" w:before="360"/>
      </w:pPr>
      <w:r>
        <w:rPr>
          <w:rFonts w:ascii="Arial" w:cs="Arial" w:eastAsia="Arial" w:hAnsi="Arial"/>
          <w:b/>
          <w:bCs/>
          <w:color w:val="0F1F17"/>
          <w:sz w:val="32"/>
          <w:szCs w:val="32"/>
        </w:rPr>
        <w:t xml:space="preserve">13.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4"/>
              <w:left w:val="single" w:color="CCCCCC" w:sz="4"/>
              <w:bottom w:val="single" w:color="CCCCCC" w:sz="4"/>
              <w:right w:val="single" w:color="CCCCCC" w:sz="4"/>
            </w:tcBorders>
            <w:shd w:fill="0F1F17" w:val="clear"/>
            <w:tcMar>
              <w:top w:type="dxa" w:w="60"/>
              <w:left w:type="dxa" w:w="80"/>
              <w:bottom w:type="dxa" w:w="60"/>
              <w:right w:type="dxa" w:w="80"/>
            </w:tcMar>
            <w:vAlign w:val="center"/>
          </w:tcPr>
          <w:p>
            <w:r>
              <w:rPr>
                <w:rFonts w:ascii="Arial" w:cs="Arial" w:eastAsia="Arial" w:hAnsi="Arial"/>
                <w:b/>
                <w:bCs/>
                <w:color w:val="FFFFFF"/>
                <w:sz w:val="18"/>
                <w:szCs w:val="18"/>
              </w:rPr>
              <w:t xml:space="preserve">Window</w:t>
            </w:r>
          </w:p>
        </w:tc>
        <w:tc>
          <w:tcPr>
            <w:tcW w:type="dxa" w:w="4360"/>
            <w:tcBorders>
              <w:top w:val="single" w:color="CCCCCC" w:sz="4"/>
              <w:left w:val="single" w:color="CCCCCC" w:sz="4"/>
              <w:bottom w:val="single" w:color="CCCCCC" w:sz="4"/>
              <w:right w:val="single" w:color="CCCCCC" w:sz="4"/>
            </w:tcBorders>
            <w:shd w:fill="0F1F17" w:val="clear"/>
            <w:tcMar>
              <w:top w:type="dxa" w:w="60"/>
              <w:left w:type="dxa" w:w="80"/>
              <w:bottom w:type="dxa" w:w="60"/>
              <w:right w:type="dxa" w:w="80"/>
            </w:tcMar>
            <w:vAlign w:val="center"/>
          </w:tcPr>
          <w:p>
            <w:r>
              <w:rPr>
                <w:rFonts w:ascii="Arial" w:cs="Arial" w:eastAsia="Arial" w:hAnsi="Arial"/>
                <w:b/>
                <w:bCs/>
                <w:color w:val="FFFFFF"/>
                <w:sz w:val="18"/>
                <w:szCs w:val="18"/>
              </w:rPr>
              <w:t xml:space="preserve">Ship</w:t>
            </w:r>
          </w:p>
        </w:tc>
        <w:tc>
          <w:tcPr>
            <w:tcW w:type="dxa" w:w="3000"/>
            <w:tcBorders>
              <w:top w:val="single" w:color="CCCCCC" w:sz="4"/>
              <w:left w:val="single" w:color="CCCCCC" w:sz="4"/>
              <w:bottom w:val="single" w:color="CCCCCC" w:sz="4"/>
              <w:right w:val="single" w:color="CCCCCC" w:sz="4"/>
            </w:tcBorders>
            <w:shd w:fill="0F1F17" w:val="clear"/>
            <w:tcMar>
              <w:top w:type="dxa" w:w="60"/>
              <w:left w:type="dxa" w:w="80"/>
              <w:bottom w:type="dxa" w:w="60"/>
              <w:right w:type="dxa" w:w="80"/>
            </w:tcMar>
            <w:vAlign w:val="center"/>
          </w:tcPr>
          <w:p>
            <w:r>
              <w:rPr>
                <w:rFonts w:ascii="Arial" w:cs="Arial" w:eastAsia="Arial" w:hAnsi="Arial"/>
                <w:b/>
                <w:bCs/>
                <w:color w:val="FFFFFF"/>
                <w:sz w:val="18"/>
                <w:szCs w:val="18"/>
              </w:rPr>
              <w:t xml:space="preserve">Proof</w:t>
            </w:r>
          </w:p>
        </w:tc>
      </w:tr>
      <w:tr>
        <w:tc>
          <w:tcPr>
            <w:tcW w:type="dxa" w:w="2000"/>
            <w:tcBorders>
              <w:top w:val="single" w:color="CCCCCC" w:sz="4"/>
              <w:left w:val="single" w:color="CCCCCC" w:sz="4"/>
              <w:bottom w:val="single" w:color="CCCCCC" w:sz="4"/>
              <w:right w:val="single" w:color="CCCCCC" w:sz="4"/>
            </w:tcBorders>
            <w:shd w:fill="F4F5F3" w:val="clear"/>
            <w:tcMar>
              <w:top w:type="dxa" w:w="60"/>
              <w:left w:type="dxa" w:w="80"/>
              <w:bottom w:type="dxa" w:w="60"/>
              <w:right w:type="dxa" w:w="80"/>
            </w:tcMar>
            <w:vAlign w:val="center"/>
          </w:tcPr>
          <w:p>
            <w:r>
              <w:rPr>
                <w:rFonts w:ascii="Arial" w:cs="Arial" w:eastAsia="Arial" w:hAnsi="Arial"/>
                <w:b/>
                <w:bCs/>
                <w:color w:val="222222"/>
                <w:sz w:val="18"/>
                <w:szCs w:val="18"/>
              </w:rPr>
              <w:t xml:space="preserve">0–90 days</w:t>
            </w:r>
          </w:p>
        </w:tc>
        <w:tc>
          <w:tcPr>
            <w:tcW w:type="dxa" w:w="4360"/>
            <w:tcBorders>
              <w:top w:val="single" w:color="CCCCCC" w:sz="4"/>
              <w:left w:val="single" w:color="CCCCCC" w:sz="4"/>
              <w:bottom w:val="single" w:color="CCCCCC" w:sz="4"/>
              <w:right w:val="single" w:color="CCCCCC" w:sz="4"/>
            </w:tcBorders>
            <w:shd w:fill="F4F5F3"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Copilot on partner rail, exception queue, two-state compliance pack</w:t>
            </w:r>
          </w:p>
        </w:tc>
        <w:tc>
          <w:tcPr>
            <w:tcW w:type="dxa" w:w="3000"/>
            <w:tcBorders>
              <w:top w:val="single" w:color="CCCCCC" w:sz="4"/>
              <w:left w:val="single" w:color="CCCCCC" w:sz="4"/>
              <w:bottom w:val="single" w:color="CCCCCC" w:sz="4"/>
              <w:right w:val="single" w:color="CCCCCC" w:sz="4"/>
            </w:tcBorders>
            <w:shd w:fill="F4F5F3"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Two parallel-run customers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bCs/>
                <w:color w:val="222222"/>
                <w:sz w:val="18"/>
                <w:szCs w:val="18"/>
              </w:rPr>
              <w:t xml:space="preserve">90–180 days</w:t>
            </w:r>
          </w:p>
        </w:tc>
        <w:tc>
          <w:tcPr>
            <w:tcW w:type="dxa" w:w="4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Tax scanner v1, employee app, EWA pilot with one bank</w:t>
            </w:r>
          </w:p>
        </w:tc>
        <w:tc>
          <w:tcPr>
            <w:tcW w:type="dxa" w:w="30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First verified credit packet</w:t>
            </w:r>
          </w:p>
        </w:tc>
      </w:tr>
      <w:tr>
        <w:tc>
          <w:tcPr>
            <w:tcW w:type="dxa" w:w="2000"/>
            <w:tcBorders>
              <w:top w:val="single" w:color="CCCCCC" w:sz="4"/>
              <w:left w:val="single" w:color="CCCCCC" w:sz="4"/>
              <w:bottom w:val="single" w:color="CCCCCC" w:sz="4"/>
              <w:right w:val="single" w:color="CCCCCC" w:sz="4"/>
            </w:tcBorders>
            <w:shd w:fill="F4F5F3" w:val="clear"/>
            <w:tcMar>
              <w:top w:type="dxa" w:w="60"/>
              <w:left w:type="dxa" w:w="80"/>
              <w:bottom w:type="dxa" w:w="60"/>
              <w:right w:type="dxa" w:w="80"/>
            </w:tcMar>
            <w:vAlign w:val="center"/>
          </w:tcPr>
          <w:p>
            <w:r>
              <w:rPr>
                <w:rFonts w:ascii="Arial" w:cs="Arial" w:eastAsia="Arial" w:hAnsi="Arial"/>
                <w:b/>
                <w:bCs/>
                <w:color w:val="222222"/>
                <w:sz w:val="18"/>
                <w:szCs w:val="18"/>
              </w:rPr>
              <w:t xml:space="preserve">180–365 days</w:t>
            </w:r>
          </w:p>
        </w:tc>
        <w:tc>
          <w:tcPr>
            <w:tcW w:type="dxa" w:w="4360"/>
            <w:tcBorders>
              <w:top w:val="single" w:color="CCCCCC" w:sz="4"/>
              <w:left w:val="single" w:color="CCCCCC" w:sz="4"/>
              <w:bottom w:val="single" w:color="CCCCCC" w:sz="4"/>
              <w:right w:val="single" w:color="CCCCCC" w:sz="4"/>
            </w:tcBorders>
            <w:shd w:fill="F4F5F3"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Health Score v1, labor forecast with published error, 3rd–5th state pack</w:t>
            </w:r>
          </w:p>
        </w:tc>
        <w:tc>
          <w:tcPr>
            <w:tcW w:type="dxa" w:w="3000"/>
            <w:tcBorders>
              <w:top w:val="single" w:color="CCCCCC" w:sz="4"/>
              <w:left w:val="single" w:color="CCCCCC" w:sz="4"/>
              <w:bottom w:val="single" w:color="CCCCCC" w:sz="4"/>
              <w:right w:val="single" w:color="CCCCCC" w:sz="4"/>
            </w:tcBorders>
            <w:shd w:fill="F4F5F3"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20 design partners, hours-saved study</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bCs/>
                <w:color w:val="222222"/>
                <w:sz w:val="18"/>
                <w:szCs w:val="18"/>
              </w:rPr>
              <w:t xml:space="preserve">Year 2</w:t>
            </w:r>
          </w:p>
        </w:tc>
        <w:tc>
          <w:tcPr>
            <w:tcW w:type="dxa" w:w="4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Time module, benefits optimizer, recruiting suggestions, in-house calc for one vertical</w:t>
            </w:r>
          </w:p>
        </w:tc>
        <w:tc>
          <w:tcPr>
            <w:tcW w:type="dxa" w:w="30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NPS and logo retention</w:t>
            </w:r>
          </w:p>
        </w:tc>
      </w:tr>
      <w:tr>
        <w:tc>
          <w:tcPr>
            <w:tcW w:type="dxa" w:w="2000"/>
            <w:tcBorders>
              <w:top w:val="single" w:color="CCCCCC" w:sz="4"/>
              <w:left w:val="single" w:color="CCCCCC" w:sz="4"/>
              <w:bottom w:val="single" w:color="CCCCCC" w:sz="4"/>
              <w:right w:val="single" w:color="CCCCCC" w:sz="4"/>
            </w:tcBorders>
            <w:shd w:fill="F4F5F3" w:val="clear"/>
            <w:tcMar>
              <w:top w:type="dxa" w:w="60"/>
              <w:left w:type="dxa" w:w="80"/>
              <w:bottom w:type="dxa" w:w="60"/>
              <w:right w:type="dxa" w:w="80"/>
            </w:tcMar>
            <w:vAlign w:val="center"/>
          </w:tcPr>
          <w:p>
            <w:r>
              <w:rPr>
                <w:rFonts w:ascii="Arial" w:cs="Arial" w:eastAsia="Arial" w:hAnsi="Arial"/>
                <w:b/>
                <w:bCs/>
                <w:color w:val="222222"/>
                <w:sz w:val="18"/>
                <w:szCs w:val="18"/>
              </w:rPr>
              <w:t xml:space="preserve">Year 3</w:t>
            </w:r>
          </w:p>
        </w:tc>
        <w:tc>
          <w:tcPr>
            <w:tcW w:type="dxa" w:w="4360"/>
            <w:tcBorders>
              <w:top w:val="single" w:color="CCCCCC" w:sz="4"/>
              <w:left w:val="single" w:color="CCCCCC" w:sz="4"/>
              <w:bottom w:val="single" w:color="CCCCCC" w:sz="4"/>
              <w:right w:val="single" w:color="CCCCCC" w:sz="4"/>
            </w:tcBorders>
            <w:shd w:fill="F4F5F3"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Marketplace, 500–2,000 tier, benchmark data product</w:t>
            </w:r>
          </w:p>
        </w:tc>
        <w:tc>
          <w:tcPr>
            <w:tcW w:type="dxa" w:w="3000"/>
            <w:tcBorders>
              <w:top w:val="single" w:color="CCCCCC" w:sz="4"/>
              <w:left w:val="single" w:color="CCCCCC" w:sz="4"/>
              <w:bottom w:val="single" w:color="CCCCCC" w:sz="4"/>
              <w:right w:val="single" w:color="CCCCCC" w:sz="4"/>
            </w:tcBorders>
            <w:shd w:fill="F4F5F3" w:val="clear"/>
            <w:tcMar>
              <w:top w:type="dxa" w:w="60"/>
              <w:left w:type="dxa" w:w="80"/>
              <w:bottom w:type="dxa" w:w="60"/>
              <w:right w:type="dxa" w:w="80"/>
            </w:tcMar>
            <w:vAlign w:val="center"/>
          </w:tcPr>
          <w:p>
            <w:r>
              <w:rPr>
                <w:rFonts w:ascii="Arial" w:cs="Arial" w:eastAsia="Arial" w:hAnsi="Arial"/>
                <w:b w:val="false"/>
                <w:bCs w:val="false"/>
                <w:color w:val="222222"/>
                <w:sz w:val="18"/>
                <w:szCs w:val="18"/>
              </w:rPr>
              <w:t xml:space="preserve">Net revenue retention &gt;120%</w:t>
            </w:r>
          </w:p>
        </w:tc>
      </w:tr>
    </w:tbl>
    <w:p>
      <w:pPr>
        <w:pStyle w:val="Heading1"/>
        <w:pBdr>
          <w:bottom w:val="single" w:color="0B7A3B" w:sz="12" w:space="8"/>
        </w:pBdr>
        <w:spacing w:after="200" w:before="360"/>
      </w:pPr>
      <w:r>
        <w:rPr>
          <w:rFonts w:ascii="Arial" w:cs="Arial" w:eastAsia="Arial" w:hAnsi="Arial"/>
          <w:b/>
          <w:bCs/>
          <w:color w:val="0F1F17"/>
          <w:sz w:val="32"/>
          <w:szCs w:val="32"/>
        </w:rPr>
        <w:t xml:space="preserve">14. Risks — the list that should stay on the wall</w:t>
      </w:r>
    </w:p>
    <w:p>
      <w:pPr>
        <w:pStyle w:val="Heading3"/>
        <w:spacing w:after="100" w:before="200"/>
      </w:pPr>
      <w:r>
        <w:rPr>
          <w:rFonts w:ascii="Arial" w:cs="Arial" w:eastAsia="Arial" w:hAnsi="Arial"/>
          <w:b/>
          <w:bCs/>
          <w:color w:val="0F1F17"/>
          <w:sz w:val="24"/>
          <w:szCs w:val="24"/>
        </w:rPr>
        <w:t xml:space="preserve">Payroll is a trust business</w:t>
      </w:r>
    </w:p>
    <w:p>
      <w:pPr>
        <w:spacing w:after="160" w:before="0" w:line="276"/>
      </w:pPr>
      <w:r>
        <w:rPr>
          <w:rFonts w:ascii="Arial" w:cs="Arial" w:eastAsia="Arial" w:hAnsi="Arial"/>
          <w:color w:val="222222"/>
          <w:sz w:val="22"/>
          <w:szCs w:val="22"/>
        </w:rPr>
        <w:t xml:space="preserve">One missed tax deposit can end the company. Partner a proven filer. Insurance. Dual control. A public status page for filing. No “we’ll fix it in post.”</w:t>
      </w:r>
    </w:p>
    <w:p>
      <w:pPr>
        <w:pStyle w:val="Heading3"/>
        <w:spacing w:after="100" w:before="200"/>
      </w:pPr>
      <w:r>
        <w:rPr>
          <w:rFonts w:ascii="Arial" w:cs="Arial" w:eastAsia="Arial" w:hAnsi="Arial"/>
          <w:b/>
          <w:bCs/>
          <w:color w:val="0F1F17"/>
          <w:sz w:val="24"/>
          <w:szCs w:val="24"/>
        </w:rPr>
        <w:t xml:space="preserve">Incumbents will ship copilots</w:t>
      </w:r>
    </w:p>
    <w:p>
      <w:pPr>
        <w:spacing w:after="160" w:before="0" w:line="276"/>
      </w:pPr>
      <w:r>
        <w:rPr>
          <w:rFonts w:ascii="Arial" w:cs="Arial" w:eastAsia="Arial" w:hAnsi="Arial"/>
          <w:color w:val="222222"/>
          <w:sz w:val="22"/>
          <w:szCs w:val="22"/>
        </w:rPr>
        <w:t xml:space="preserve">They will. Win on vertical rules, the tax engine, employer-funded EWA, and the score as a bundle. A chatbot on an ADP screen is not this product.</w:t>
      </w:r>
    </w:p>
    <w:p>
      <w:pPr>
        <w:pStyle w:val="Heading3"/>
        <w:spacing w:after="100" w:before="200"/>
      </w:pPr>
      <w:r>
        <w:rPr>
          <w:rFonts w:ascii="Arial" w:cs="Arial" w:eastAsia="Arial" w:hAnsi="Arial"/>
          <w:b/>
          <w:bCs/>
          <w:color w:val="0F1F17"/>
          <w:sz w:val="24"/>
          <w:szCs w:val="24"/>
        </w:rPr>
        <w:t xml:space="preserve">EWA regulation</w:t>
      </w:r>
    </w:p>
    <w:p>
      <w:pPr>
        <w:spacing w:after="160" w:before="0" w:line="276"/>
      </w:pPr>
      <w:r>
        <w:rPr>
          <w:rFonts w:ascii="Arial" w:cs="Arial" w:eastAsia="Arial" w:hAnsi="Arial"/>
          <w:color w:val="222222"/>
          <w:sz w:val="22"/>
          <w:szCs w:val="22"/>
        </w:rPr>
        <w:t xml:space="preserve">States are still writing statutes. Stay employer-funded, no consumer credit, no payday APR, full fee transparency. If a state treats a design as lending, change the design — do not lobby first and product second.</w:t>
      </w:r>
    </w:p>
    <w:p>
      <w:pPr>
        <w:pStyle w:val="Heading3"/>
        <w:spacing w:after="100" w:before="200"/>
      </w:pPr>
      <w:r>
        <w:rPr>
          <w:rFonts w:ascii="Arial" w:cs="Arial" w:eastAsia="Arial" w:hAnsi="Arial"/>
          <w:b/>
          <w:bCs/>
          <w:color w:val="0F1F17"/>
          <w:sz w:val="24"/>
          <w:szCs w:val="24"/>
        </w:rPr>
        <w:t xml:space="preserve">Tax-credit policy</w:t>
      </w:r>
    </w:p>
    <w:p>
      <w:pPr>
        <w:spacing w:after="160" w:before="0" w:line="276"/>
      </w:pPr>
      <w:r>
        <w:rPr>
          <w:rFonts w:ascii="Arial" w:cs="Arial" w:eastAsia="Arial" w:hAnsi="Arial"/>
          <w:color w:val="222222"/>
          <w:sz w:val="22"/>
          <w:szCs w:val="22"/>
        </w:rPr>
        <w:t xml:space="preserve">WOTC has been extended in bursts and is not a perpetual machine. Diversify the credit inventory. Never make one federal program the business model.</w:t>
      </w:r>
    </w:p>
    <w:p>
      <w:pPr>
        <w:pStyle w:val="Heading3"/>
        <w:spacing w:after="100" w:before="200"/>
      </w:pPr>
      <w:r>
        <w:rPr>
          <w:rFonts w:ascii="Arial" w:cs="Arial" w:eastAsia="Arial" w:hAnsi="Arial"/>
          <w:b/>
          <w:bCs/>
          <w:color w:val="0F1F17"/>
          <w:sz w:val="24"/>
          <w:szCs w:val="24"/>
        </w:rPr>
        <w:t xml:space="preserve">Implementation graveyard</w:t>
      </w:r>
    </w:p>
    <w:p>
      <w:pPr>
        <w:spacing w:after="160" w:before="0" w:line="276"/>
      </w:pPr>
      <w:r>
        <w:rPr>
          <w:rFonts w:ascii="Arial" w:cs="Arial" w:eastAsia="Arial" w:hAnsi="Arial"/>
          <w:color w:val="222222"/>
          <w:sz w:val="22"/>
          <w:szCs w:val="22"/>
        </w:rPr>
        <w:t xml:space="preserve">HCM companies die in migration. Thirty-day vertical playbooks. Parallel-run two cycles. Concierge for the first fifty logos. If implementation is a professional-services firm in disguise, the software is not ready.</w:t>
      </w:r>
    </w:p>
    <w:p>
      <w:pPr>
        <w:pStyle w:val="Heading3"/>
        <w:spacing w:after="100" w:before="200"/>
      </w:pPr>
      <w:r>
        <w:rPr>
          <w:rFonts w:ascii="Arial" w:cs="Arial" w:eastAsia="Arial" w:hAnsi="Arial"/>
          <w:b/>
          <w:bCs/>
          <w:color w:val="0F1F17"/>
          <w:sz w:val="24"/>
          <w:szCs w:val="24"/>
        </w:rPr>
        <w:t xml:space="preserve">Liability and security</w:t>
      </w:r>
    </w:p>
    <w:p>
      <w:pPr>
        <w:spacing w:after="160" w:before="0" w:line="276"/>
      </w:pPr>
      <w:r>
        <w:rPr>
          <w:rFonts w:ascii="Arial" w:cs="Arial" w:eastAsia="Arial" w:hAnsi="Arial"/>
          <w:color w:val="222222"/>
          <w:sz w:val="22"/>
          <w:szCs w:val="22"/>
        </w:rPr>
        <w:t xml:space="preserve">This dataset is a gift to an attacker and a gift to a plaintiff’s lawyer. SOC 2, least privilege, audit every agent action that touches pay. Budget for this like it is cost of goods.</w:t>
      </w:r>
    </w:p>
    <w:p>
      <w:pPr>
        <w:pStyle w:val="Heading1"/>
        <w:pBdr>
          <w:bottom w:val="single" w:color="0B7A3B" w:sz="12" w:space="8"/>
        </w:pBdr>
        <w:spacing w:after="200" w:before="360"/>
      </w:pPr>
      <w:r>
        <w:rPr>
          <w:rFonts w:ascii="Arial" w:cs="Arial" w:eastAsia="Arial" w:hAnsi="Arial"/>
          <w:b/>
          <w:bCs/>
          <w:color w:val="0F1F17"/>
          <w:sz w:val="32"/>
          <w:szCs w:val="32"/>
        </w:rPr>
        <w:t xml:space="preserve">15. Team shape (first eighteen months)</w:t>
      </w:r>
    </w:p>
    <w:p>
      <w:pPr>
        <w:pStyle w:val="ListParagraph"/>
        <w:numPr>
          <w:ilvl w:val="0"/>
          <w:numId w:val="2"/>
        </w:numPr>
        <w:spacing w:after="80" w:line="276"/>
      </w:pPr>
      <w:r>
        <w:rPr>
          <w:rFonts w:ascii="Arial" w:cs="Arial" w:eastAsia="Arial" w:hAnsi="Arial"/>
          <w:color w:val="222222"/>
          <w:sz w:val="22"/>
          <w:szCs w:val="22"/>
        </w:rPr>
        <w:t xml:space="preserve">CEO / operator who has run or sold into dirty-workforce industries. Not only a SaaS generalist.</w:t>
      </w:r>
    </w:p>
    <w:p>
      <w:pPr>
        <w:pStyle w:val="ListParagraph"/>
        <w:numPr>
          <w:ilvl w:val="0"/>
          <w:numId w:val="2"/>
        </w:numPr>
        <w:spacing w:after="80" w:line="276"/>
      </w:pPr>
      <w:r>
        <w:rPr>
          <w:rFonts w:ascii="Arial" w:cs="Arial" w:eastAsia="Arial" w:hAnsi="Arial"/>
          <w:color w:val="222222"/>
          <w:sz w:val="22"/>
          <w:szCs w:val="22"/>
        </w:rPr>
        <w:t xml:space="preserve">Payroll operations lead who has lived through a failed filing. Scar tissue is the qualification.</w:t>
      </w:r>
    </w:p>
    <w:p>
      <w:pPr>
        <w:pStyle w:val="ListParagraph"/>
        <w:numPr>
          <w:ilvl w:val="0"/>
          <w:numId w:val="2"/>
        </w:numPr>
        <w:spacing w:after="80" w:line="276"/>
      </w:pPr>
      <w:r>
        <w:rPr>
          <w:rFonts w:ascii="Arial" w:cs="Arial" w:eastAsia="Arial" w:hAnsi="Arial"/>
          <w:color w:val="222222"/>
          <w:sz w:val="22"/>
          <w:szCs w:val="22"/>
        </w:rPr>
        <w:t xml:space="preserve">Applied ML / agent lead who is willing to be measured on exception precision, not demo wow.</w:t>
      </w:r>
    </w:p>
    <w:p>
      <w:pPr>
        <w:pStyle w:val="ListParagraph"/>
        <w:numPr>
          <w:ilvl w:val="0"/>
          <w:numId w:val="2"/>
        </w:numPr>
        <w:spacing w:after="80" w:line="276"/>
      </w:pPr>
      <w:r>
        <w:rPr>
          <w:rFonts w:ascii="Arial" w:cs="Arial" w:eastAsia="Arial" w:hAnsi="Arial"/>
          <w:color w:val="222222"/>
          <w:sz w:val="22"/>
          <w:szCs w:val="22"/>
        </w:rPr>
        <w:t xml:space="preserve">Compliance counsel plus a rules engineer. These are two jobs.</w:t>
      </w:r>
    </w:p>
    <w:p>
      <w:pPr>
        <w:pStyle w:val="ListParagraph"/>
        <w:numPr>
          <w:ilvl w:val="0"/>
          <w:numId w:val="2"/>
        </w:numPr>
        <w:spacing w:after="80" w:line="276"/>
      </w:pPr>
      <w:r>
        <w:rPr>
          <w:rFonts w:ascii="Arial" w:cs="Arial" w:eastAsia="Arial" w:hAnsi="Arial"/>
          <w:color w:val="222222"/>
          <w:sz w:val="22"/>
          <w:szCs w:val="22"/>
        </w:rPr>
        <w:t xml:space="preserve">Two vertical implementation people who will sit at the customer’s office manager desk.</w:t>
      </w:r>
    </w:p>
    <w:p>
      <w:pPr>
        <w:pStyle w:val="ListParagraph"/>
        <w:numPr>
          <w:ilvl w:val="0"/>
          <w:numId w:val="2"/>
        </w:numPr>
        <w:spacing w:after="80" w:line="276"/>
      </w:pPr>
      <w:r>
        <w:rPr>
          <w:rFonts w:ascii="Arial" w:cs="Arial" w:eastAsia="Arial" w:hAnsi="Arial"/>
          <w:color w:val="222222"/>
          <w:sz w:val="22"/>
          <w:szCs w:val="22"/>
        </w:rPr>
        <w:t xml:space="preserve">A bank / treasury partner owner for EWA. Do not improvise money movement.</w:t>
      </w:r>
    </w:p>
    <w:p>
      <w:pPr>
        <w:spacing w:after="160" w:before="0" w:line="276"/>
      </w:pPr>
      <w:r>
        <w:rPr>
          <w:rFonts w:ascii="Arial" w:cs="Arial" w:eastAsia="Arial" w:hAnsi="Arial"/>
          <w:color w:val="222222"/>
          <w:sz w:val="22"/>
          <w:szCs w:val="22"/>
        </w:rPr>
        <w:t xml:space="preserve">Do not hire a marketplace manager, a content brand studio, or a “Head of AI” with no payroll graph in year one.</w:t>
      </w:r>
    </w:p>
    <w:p>
      <w:pPr>
        <w:pStyle w:val="Heading1"/>
        <w:pBdr>
          <w:bottom w:val="single" w:color="0B7A3B" w:sz="12" w:space="8"/>
        </w:pBdr>
        <w:spacing w:after="200" w:before="360"/>
      </w:pPr>
      <w:r>
        <w:rPr>
          <w:rFonts w:ascii="Arial" w:cs="Arial" w:eastAsia="Arial" w:hAnsi="Arial"/>
          <w:b/>
          <w:bCs/>
          <w:color w:val="0F1F17"/>
          <w:sz w:val="32"/>
          <w:szCs w:val="32"/>
        </w:rPr>
        <w:t xml:space="preserve">16. What to build this week if this is more than a memo</w:t>
      </w:r>
    </w:p>
    <w:p>
      <w:pPr>
        <w:pStyle w:val="ListParagraph"/>
        <w:numPr>
          <w:ilvl w:val="0"/>
          <w:numId w:val="2"/>
        </w:numPr>
        <w:spacing w:after="80" w:line="276"/>
      </w:pPr>
      <w:r>
        <w:rPr>
          <w:rFonts w:ascii="Arial" w:cs="Arial" w:eastAsia="Arial" w:hAnsi="Arial"/>
          <w:color w:val="222222"/>
          <w:sz w:val="22"/>
          <w:szCs w:val="22"/>
        </w:rPr>
        <w:t xml:space="preserve">Pick two verticals and five states. Write the compliance graph for those only.</w:t>
      </w:r>
    </w:p>
    <w:p>
      <w:pPr>
        <w:pStyle w:val="ListParagraph"/>
        <w:numPr>
          <w:ilvl w:val="0"/>
          <w:numId w:val="2"/>
        </w:numPr>
        <w:spacing w:after="80" w:line="276"/>
      </w:pPr>
      <w:r>
        <w:rPr>
          <w:rFonts w:ascii="Arial" w:cs="Arial" w:eastAsia="Arial" w:hAnsi="Arial"/>
          <w:color w:val="222222"/>
          <w:sz w:val="22"/>
          <w:szCs w:val="22"/>
        </w:rPr>
        <w:t xml:space="preserve">Choose the embedded payroll rail. Sign the sandbox.</w:t>
      </w:r>
    </w:p>
    <w:p>
      <w:pPr>
        <w:pStyle w:val="ListParagraph"/>
        <w:numPr>
          <w:ilvl w:val="0"/>
          <w:numId w:val="2"/>
        </w:numPr>
        <w:spacing w:after="80" w:line="276"/>
      </w:pPr>
      <w:r>
        <w:rPr>
          <w:rFonts w:ascii="Arial" w:cs="Arial" w:eastAsia="Arial" w:hAnsi="Arial"/>
          <w:color w:val="222222"/>
          <w:sz w:val="22"/>
          <w:szCs w:val="22"/>
        </w:rPr>
        <w:t xml:space="preserve">Specify the exception object: source, baseline, suggested fix, money impact, approver, audit trail.</w:t>
      </w:r>
    </w:p>
    <w:p>
      <w:pPr>
        <w:pStyle w:val="ListParagraph"/>
        <w:numPr>
          <w:ilvl w:val="0"/>
          <w:numId w:val="2"/>
        </w:numPr>
        <w:spacing w:after="80" w:line="276"/>
      </w:pPr>
      <w:r>
        <w:rPr>
          <w:rFonts w:ascii="Arial" w:cs="Arial" w:eastAsia="Arial" w:hAnsi="Arial"/>
          <w:color w:val="222222"/>
          <w:sz w:val="22"/>
          <w:szCs w:val="22"/>
        </w:rPr>
        <w:t xml:space="preserve">Write the credit scanner as a rules + retrieval system against entity + workforce features. No LLM-only claiming.</w:t>
      </w:r>
    </w:p>
    <w:p>
      <w:pPr>
        <w:pStyle w:val="ListParagraph"/>
        <w:numPr>
          <w:ilvl w:val="0"/>
          <w:numId w:val="2"/>
        </w:numPr>
        <w:spacing w:after="80" w:line="276"/>
      </w:pPr>
      <w:r>
        <w:rPr>
          <w:rFonts w:ascii="Arial" w:cs="Arial" w:eastAsia="Arial" w:hAnsi="Arial"/>
          <w:color w:val="222222"/>
          <w:sz w:val="22"/>
          <w:szCs w:val="22"/>
        </w:rPr>
        <w:t xml:space="preserve">Design the employee earned-balance screen. If that screen is confusing, the consumer motion is dead.</w:t>
      </w:r>
    </w:p>
    <w:p>
      <w:pPr>
        <w:pStyle w:val="ListParagraph"/>
        <w:numPr>
          <w:ilvl w:val="0"/>
          <w:numId w:val="2"/>
        </w:numPr>
        <w:spacing w:after="80" w:line="276"/>
      </w:pPr>
      <w:r>
        <w:rPr>
          <w:rFonts w:ascii="Arial" w:cs="Arial" w:eastAsia="Arial" w:hAnsi="Arial"/>
          <w:color w:val="222222"/>
          <w:sz w:val="22"/>
          <w:szCs w:val="22"/>
        </w:rPr>
        <w:t xml:space="preserve">Draft the parallel-run runbook. Migration is the product.</w:t>
      </w:r>
    </w:p>
    <w:p>
      <w:pPr>
        <w:pStyle w:val="Heading1"/>
        <w:pBdr>
          <w:bottom w:val="single" w:color="0B7A3B" w:sz="12" w:space="8"/>
        </w:pBdr>
        <w:spacing w:after="200" w:before="360"/>
      </w:pPr>
      <w:r>
        <w:rPr>
          <w:rFonts w:ascii="Arial" w:cs="Arial" w:eastAsia="Arial" w:hAnsi="Arial"/>
          <w:b/>
          <w:bCs/>
          <w:color w:val="0F1F17"/>
          <w:sz w:val="32"/>
          <w:szCs w:val="32"/>
        </w:rPr>
        <w:t xml:space="preserve">17. The sentence to keep</w:t>
      </w:r>
    </w:p>
    <w:p>
      <w:pPr>
        <w:spacing w:after="160" w:before="0" w:line="276"/>
      </w:pPr>
      <w:r>
        <w:rPr>
          <w:rFonts w:ascii="Arial" w:cs="Arial" w:eastAsia="Arial" w:hAnsi="Arial"/>
          <w:color w:val="222222"/>
          <w:sz w:val="22"/>
          <w:szCs w:val="22"/>
        </w:rPr>
        <w:t xml:space="preserve">Most payroll companies answer: how much should we pay employees?</w:t>
      </w:r>
    </w:p>
    <w:p>
      <w:pPr>
        <w:spacing w:after="160" w:before="0" w:line="276"/>
      </w:pPr>
      <w:r>
        <w:rPr>
          <w:rFonts w:ascii="Arial" w:cs="Arial" w:eastAsia="Arial" w:hAnsi="Arial"/>
          <w:color w:val="222222"/>
          <w:sz w:val="22"/>
          <w:szCs w:val="22"/>
        </w:rPr>
        <w:t xml:space="preserve">Aether answers: how should we build, manage, optimize, and retain this workforce?</w:t>
      </w:r>
    </w:p>
    <w:p>
      <w:pPr>
        <w:spacing w:after="160" w:before="0" w:line="276"/>
      </w:pPr>
      <w:r>
        <w:rPr>
          <w:rFonts w:ascii="Arial" w:cs="Arial" w:eastAsia="Arial" w:hAnsi="Arial"/>
          <w:color w:val="222222"/>
          <w:sz w:val="22"/>
          <w:szCs w:val="22"/>
        </w:rPr>
        <w:t xml:space="preserve">That is the shift from a commodity payroll provider to an AI-powered workforce operating system. It is a larger market. It is also a harder company to build. The only honest way to start is the narrow bundle, the dirty verticals, and a copilot that is right more often than the office manager working late.</w:t>
      </w:r>
    </w:p>
    <w:p>
      <w:pPr>
        <w:spacing w:after="0" w:before="0" w:line="276"/>
      </w:pPr>
      <w:r>
        <w:rPr>
          <w:rFonts w:ascii="Arial" w:cs="Arial" w:eastAsia="Arial" w:hAnsi="Arial"/>
          <w:b/>
          <w:bCs/>
          <w:color w:val="222222"/>
          <w:sz w:val="22"/>
          <w:szCs w:val="22"/>
        </w:rPr>
        <w:t xml:space="preserve">Aether. Payroll that runs itself.</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Payroll that runs itself.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AETHER  ·  CONFIDENTIAL CONCEPT  ·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decimal"/>
      <w:lvlText w:val="%1."/>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F17"/>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B7A3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F1F1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2026-08-26T10:51:15.196Z</dcterms:created>
  <dcterms:modified xsi:type="dcterms:W3CDTF">2026-08-26T10:51:15.196Z</dcterms:modified>
</cp:coreProperties>
</file>

<file path=docProps/custom.xml><?xml version="1.0" encoding="utf-8"?>
<Properties xmlns="http://schemas.openxmlformats.org/officeDocument/2006/custom-properties" xmlns:vt="http://schemas.openxmlformats.org/officeDocument/2006/docPropsVTypes"/>
</file>