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pBdr>
          <w:bottom w:val="single" w:sz="12" w:space="6" w:color="1F4E78"/>
        </w:pBdr>
        <w:jc w:val="start"/>
        <w:rPr/>
      </w:pPr>
      <w:r>
        <w:rPr>
          <w:rFonts w:eastAsia="Arial" w:ascii="Arial" w:hAnsi="Arial"/>
          <w:b w:val="false"/>
          <w:i w:val="false"/>
          <w:color w:val="17365D"/>
          <w:sz w:val="46"/>
        </w:rPr>
        <w:t>Dự án Credit Scoring — Pre-sprint 0</w:t>
      </w:r>
    </w:p>
    <w:p>
      <w:pPr>
        <w:pStyle w:val="Heading1"/>
        <w:keepNext w:val="true"/>
        <w:pBdr>
          <w:bottom w:val="single" w:sz="12" w:space="6" w:color="D9EAF7"/>
        </w:pBdr>
        <w:rPr/>
      </w:pPr>
      <w:r>
        <w:rPr>
          <w:rFonts w:eastAsia="Arial" w:ascii="Arial" w:hAnsi="Arial"/>
          <w:b w:val="false"/>
          <w:i w:val="false"/>
          <w:color w:val="17365D"/>
          <w:sz w:val="32"/>
        </w:rPr>
        <w:t>Task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1.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Khảo sát các dataset credit scoring công khai trên Kaggle và hệ thống hóa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các nhóm feature cần hiểu.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2.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Viết các hàm tái sử dụng cho loading, validation, modeling, artifact và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submission.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3.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Chạy thử end-to-end một notebook Home Credit để chứng minh các module có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thể tạo được prediction, artifact và Kaggle submission.</w:t>
      </w:r>
    </w:p>
    <w:p>
      <w:pPr>
        <w:pStyle w:val="Heading1"/>
        <w:spacing w:before="0" w:after="160"/>
        <w:rPr>
          <w:rFonts w:ascii="Calibri" w:hAnsi="Calibri"/>
          <w:b/>
          <w:color w:val="2E74B5"/>
          <w:sz w:val="32"/>
        </w:rPr>
      </w:pPr>
      <w:r>
        <w:rPr>
          <w:b/>
          <w:color w:val="2E74B5"/>
          <w:sz w:val="32"/>
        </w:rPr>
        <w:t>1. Công việc đã hoàn thành</w:t>
      </w:r>
    </w:p>
    <w:p>
      <w:pPr>
        <w:pStyle w:val="Heading2"/>
        <w:rPr/>
      </w:pPr>
      <w:r>
        <w:rPr>
          <w:b/>
          <w:color w:val="2E74B5"/>
          <w:sz w:val="26"/>
        </w:rPr>
        <w:t>1.1. Kiến thức cơ bản về credit scoring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700"/>
        <w:gridCol w:w="6660"/>
      </w:tblGrid>
      <w:tr>
        <w:trPr>
          <w:cantSplit/>
        </w:trPr>
        <w:tc>
          <w:tcPr>
            <w:tcW w:w="27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Khái niệm</w:t>
            </w:r>
          </w:p>
        </w:tc>
        <w:tc>
          <w:tcPr>
            <w:tcW w:w="66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Nội dung đã tìm hiểu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Default, delinquency, DPD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Phân biệt default với quá hạn và các mức DPD30/60/90.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PD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Xác suất default trong horizon, population và thời điểm dự đoán xác định.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Credit score và FICO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Credit score xếp hạng rủi ro; FICO là ví dụ score phổ biến, không phải target/metric Home Credit.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Observation/performance window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Khoảng dữ liệu được phép nhìn thấy khi dự đoán và khoảng quan sát outcome; nền tảng phòng leakage.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Scorecard, WoE, IV, binning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Scorecard chuyển risk/log-odds thành score; WoE/IV/binning cần fit trên train để kiểm soát leakage/overfit.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ROC-AUC, Gini, KS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Metric discrimination/ranking; Gini thường biểu diễn bằng 2 x AUC - 1.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Calibration, threshold, PSI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AUC tốt không đồng nghĩa calibration/threshold hợp lý; PSI là tín hiệu theo dõi dịch chuyển phân phối.</w:t>
            </w:r>
          </w:p>
        </w:tc>
      </w:tr>
      <w:tr>
        <w:trPr>
          <w:cantSplit/>
        </w:trPr>
        <w:tc>
          <w:tcPr>
            <w:tcW w:w="27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6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Stratified CV cho baseline IID; temporal/OOT validation cần khi time/window được xác định.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b/>
          <w:color w:val="2E74B5"/>
          <w:sz w:val="26"/>
        </w:rPr>
        <w:t>1.2. Dataset, feature và EDA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00"/>
        <w:gridCol w:w="3647"/>
        <w:gridCol w:w="3613"/>
      </w:tblGrid>
      <w:tr>
        <w:trPr>
          <w:cantSplit/>
        </w:trPr>
        <w:tc>
          <w:tcPr>
            <w:tcW w:w="21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3647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Bài toán học được</w:t>
            </w:r>
          </w:p>
        </w:tc>
        <w:tc>
          <w:tcPr>
            <w:tcW w:w="3613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Điểm cần lưu ý</w:t>
            </w:r>
          </w:p>
        </w:tc>
      </w:tr>
      <w:tr>
        <w:trPr>
          <w:cantSplit/>
        </w:trPr>
        <w:tc>
          <w:tcPr>
            <w:tcW w:w="21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Give Me Some Credit</w:t>
            </w:r>
          </w:p>
        </w:tc>
        <w:tc>
          <w:tcPr>
            <w:tcW w:w="364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Binary classification về serious delinquency trong 2 năm.</w:t>
            </w:r>
          </w:p>
        </w:tc>
        <w:tc>
          <w:tcPr>
            <w:tcW w:w="36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Một bảng; phù hợp học baseline, missing/outlier và class imbalance.</w:t>
            </w:r>
          </w:p>
        </w:tc>
      </w:tr>
      <w:tr>
        <w:trPr>
          <w:cantSplit/>
        </w:trPr>
        <w:tc>
          <w:tcPr>
            <w:tcW w:w="21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Home Credit Default Risk</w:t>
            </w:r>
          </w:p>
        </w:tc>
        <w:tc>
          <w:tcPr>
            <w:tcW w:w="364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Dự đoán khó khăn trả nợ từ application và lịch sử quan hệ.</w:t>
            </w:r>
          </w:p>
        </w:tc>
        <w:tc>
          <w:tcPr>
            <w:tcW w:w="36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Nhiều bảng; cần kiểm soát key, grain, aggregation và point-in-time leakage.</w:t>
            </w:r>
          </w:p>
        </w:tc>
      </w:tr>
      <w:tr>
        <w:trPr>
          <w:cantSplit/>
        </w:trPr>
        <w:tc>
          <w:tcPr>
            <w:tcW w:w="21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Home Credit Model Stability</w:t>
            </w:r>
          </w:p>
        </w:tc>
        <w:tc>
          <w:tcPr>
            <w:tcW w:w="364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Xây mô hình ổn định theo thời gian.</w:t>
            </w:r>
          </w:p>
        </w:tc>
        <w:tc>
          <w:tcPr>
            <w:tcW w:w="36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Cần temporal split, drift và performance theo cohort/time.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>
          <w:color w:val="000000"/>
          <w:sz w:val="22"/>
        </w:rPr>
      </w:pPr>
      <w:r>
        <w:rPr>
          <w:color w:val="000000"/>
          <w:sz w:val="22"/>
        </w:rPr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850"/>
        <w:gridCol w:w="6510"/>
      </w:tblGrid>
      <w:tr>
        <w:trPr>
          <w:cantSplit/>
        </w:trPr>
        <w:tc>
          <w:tcPr>
            <w:tcW w:w="285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Nhóm feature</w:t>
            </w:r>
          </w:p>
        </w:tc>
        <w:tc>
          <w:tcPr>
            <w:tcW w:w="651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Ví dụ và ý nghĩa</w:t>
            </w:r>
          </w:p>
        </w:tc>
      </w:tr>
      <w:tr>
        <w:trPr>
          <w:cantSplit/>
        </w:trPr>
        <w:tc>
          <w:tcPr>
            <w:tcW w:w="28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Khả năng chi trả</w:t>
            </w:r>
          </w:p>
        </w:tc>
        <w:tc>
          <w:tcPr>
            <w:tcW w:w="65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AMT_CREDIT, AMT_ANNUITY, AMT_INCOME_TOTAL, AMT_GOODS_PRICE; ratio credit/income, annuity/income, annuity/credit.</w:t>
            </w:r>
          </w:p>
        </w:tc>
      </w:tr>
      <w:tr>
        <w:trPr>
          <w:cantSplit/>
        </w:trPr>
        <w:tc>
          <w:tcPr>
            <w:tcW w:w="28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Gia đình và việc làm</w:t>
            </w:r>
          </w:p>
        </w:tc>
        <w:tc>
          <w:tcPr>
            <w:tcW w:w="65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DAYS_BIRTH, DAYS_EMPLOYED, số thành viên gia đình, số con; employment/age và income/person.</w:t>
            </w:r>
          </w:p>
        </w:tc>
      </w:tr>
      <w:tr>
        <w:trPr>
          <w:cantSplit/>
        </w:trPr>
        <w:tc>
          <w:tcPr>
            <w:tcW w:w="28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External score</w:t>
            </w:r>
          </w:p>
        </w:tc>
        <w:tc>
          <w:tcPr>
            <w:tcW w:w="65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EXT_SOURCE_1/2/3; aggregate mean, median, min, max, std, range và missing count.</w:t>
            </w:r>
          </w:p>
        </w:tc>
      </w:tr>
      <w:tr>
        <w:trPr>
          <w:cantSplit/>
        </w:trPr>
        <w:tc>
          <w:tcPr>
            <w:tcW w:w="28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Giấy tờ, liên hệ, nhà ở</w:t>
            </w:r>
          </w:p>
        </w:tc>
        <w:tc>
          <w:tcPr>
            <w:tcW w:w="65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FLAG_DOCUMENT_*, phone/email; apartment, basement, elevator, wall material.</w:t>
            </w:r>
          </w:p>
        </w:tc>
      </w:tr>
      <w:tr>
        <w:trPr>
          <w:cantSplit/>
        </w:trPr>
        <w:tc>
          <w:tcPr>
            <w:tcW w:w="28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Lịch sử tín dụng/trả nợ</w:t>
            </w:r>
          </w:p>
        </w:tc>
        <w:tc>
          <w:tcPr>
            <w:tcW w:w="65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Bureau, prior applications, installments/POS/card; aggregate count, recency, utilization, DPD và payment behavior.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>
          <w:b/>
          <w:color w:val="2E74B5"/>
          <w:sz w:val="32"/>
        </w:rPr>
        <w:t>2. Core modules tái sử dụng</w:t>
      </w:r>
    </w:p>
    <w:p>
      <w:pPr>
        <w:pStyle w:val="Normal"/>
        <w:rPr/>
      </w:pPr>
      <w:r>
        <w:rPr>
          <w:color w:val="000000"/>
          <w:sz w:val="22"/>
        </w:rPr>
        <w:t>Phạm vi reusable core của Pre-sprint 0 chỉ gồm Modeling, Evaluation và Tuning. Data loading, EDA và feature engineering được giữ trong notebook để linh hoạt theo từng dataset.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597"/>
        <w:gridCol w:w="4103"/>
        <w:gridCol w:w="3660"/>
      </w:tblGrid>
      <w:tr>
        <w:trPr>
          <w:cantSplit/>
        </w:trPr>
        <w:tc>
          <w:tcPr>
            <w:tcW w:w="1597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Nhóm</w:t>
            </w:r>
          </w:p>
        </w:tc>
        <w:tc>
          <w:tcPr>
            <w:tcW w:w="4103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Hàm</w:t>
            </w:r>
          </w:p>
        </w:tc>
        <w:tc>
          <w:tcPr>
            <w:tcW w:w="36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Tác dụng</w:t>
            </w:r>
          </w:p>
        </w:tc>
      </w:tr>
      <w:tr>
        <w:trPr>
          <w:cantSplit/>
        </w:trPr>
        <w:tc>
          <w:tcPr>
            <w:tcW w:w="15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Modeling</w:t>
            </w:r>
          </w:p>
        </w:tc>
        <w:tc>
          <w:tcPr>
            <w:tcW w:w="4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build_model; build_lightgbm_model; build_catboost_model; build_xgboost_model</w:t>
            </w:r>
          </w:p>
        </w:tc>
        <w:tc>
          <w:tcPr>
            <w:tcW w:w="3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Tạo model theo interface/config thống nhất.</w:t>
            </w:r>
          </w:p>
        </w:tc>
      </w:tr>
      <w:tr>
        <w:trPr>
          <w:cantSplit/>
        </w:trPr>
        <w:tc>
          <w:tcPr>
            <w:tcW w:w="15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Modeling</w:t>
            </w:r>
          </w:p>
        </w:tc>
        <w:tc>
          <w:tcPr>
            <w:tcW w:w="4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run_lightgbm_cv</w:t>
            </w:r>
          </w:p>
        </w:tc>
        <w:tc>
          <w:tcPr>
            <w:tcW w:w="3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Train CV, tạo OOF/test predictions, fold scores, feature importance, best iterations và runtime.</w:t>
            </w:r>
          </w:p>
        </w:tc>
      </w:tr>
      <w:tr>
        <w:trPr>
          <w:cantSplit/>
        </w:trPr>
        <w:tc>
          <w:tcPr>
            <w:tcW w:w="15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Evaluation</w:t>
            </w:r>
          </w:p>
        </w:tc>
        <w:tc>
          <w:tcPr>
            <w:tcW w:w="4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create_stratified_folds; validate_oof_coverage</w:t>
            </w:r>
          </w:p>
        </w:tc>
        <w:tc>
          <w:tcPr>
            <w:tcW w:w="3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Tạo stratified folds và xác nhận mỗi sample chỉ có một OOF prediction.</w:t>
            </w:r>
          </w:p>
        </w:tc>
      </w:tr>
      <w:tr>
        <w:trPr>
          <w:cantSplit/>
        </w:trPr>
        <w:tc>
          <w:tcPr>
            <w:tcW w:w="15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Evaluation</w:t>
            </w:r>
          </w:p>
        </w:tc>
        <w:tc>
          <w:tcPr>
            <w:tcW w:w="4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validate_prediction_array; calculate_roc_auc</w:t>
            </w:r>
          </w:p>
        </w:tc>
        <w:tc>
          <w:tcPr>
            <w:tcW w:w="3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Kiểm tra prediction hợp lệ và tính ROC-AUC thống nhất.</w:t>
            </w:r>
          </w:p>
        </w:tc>
      </w:tr>
      <w:tr>
        <w:trPr>
          <w:cantSplit/>
        </w:trPr>
        <w:tc>
          <w:tcPr>
            <w:tcW w:w="15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Tuning</w:t>
            </w:r>
          </w:p>
        </w:tc>
        <w:tc>
          <w:tcPr>
            <w:tcW w:w="4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tune_lightgbm</w:t>
            </w:r>
          </w:p>
        </w:tc>
        <w:tc>
          <w:tcPr>
            <w:tcW w:w="366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Tuning LightGBM bằng Optuna khi được bật rõ ràng.</w:t>
            </w:r>
          </w:p>
        </w:tc>
      </w:tr>
    </w:tbl>
    <w:p>
      <w:pPr>
        <w:pStyle w:val="Heading1"/>
        <w:rPr/>
      </w:pPr>
      <w:r>
        <w:rPr>
          <w:b/>
          <w:color w:val="2E74B5"/>
          <w:sz w:val="32"/>
        </w:rPr>
        <w:t>3. Thử nghiệm end-to-end trên Home Credit</w:t>
      </w:r>
    </w:p>
    <w:p>
      <w:pPr>
        <w:pStyle w:val="Heading2"/>
        <w:rPr/>
      </w:pPr>
      <w:r>
        <w:rPr>
          <w:b/>
          <w:color w:val="2E74B5"/>
          <w:sz w:val="26"/>
        </w:rPr>
        <w:t>Kết quả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OOF AUC</w:t>
              <w:br/>
            </w:r>
            <w:r>
              <w:rPr>
                <w:b/>
                <w:color w:val="000000"/>
                <w:sz w:val="32"/>
              </w:rPr>
              <w:t>0.768696</w:t>
            </w:r>
          </w:p>
        </w:tc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Kaggle Score</w:t>
              <w:br/>
            </w:r>
            <w:r>
              <w:rPr>
                <w:b/>
                <w:color w:val="000000"/>
                <w:sz w:val="32"/>
              </w:rPr>
              <w:t>0.76312</w:t>
            </w:r>
          </w:p>
        </w:tc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Public score</w:t>
              <w:br/>
            </w:r>
            <w:r>
              <w:rPr>
                <w:b/>
                <w:color w:val="000000"/>
                <w:sz w:val="32"/>
              </w:rPr>
              <w:t>0.76634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797"/>
        <w:gridCol w:w="6563"/>
      </w:tblGrid>
      <w:tr>
        <w:trPr>
          <w:cantSplit/>
        </w:trPr>
        <w:tc>
          <w:tcPr>
            <w:tcW w:w="2797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Hạng mục</w:t>
            </w:r>
          </w:p>
        </w:tc>
        <w:tc>
          <w:tcPr>
            <w:tcW w:w="6563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Kết quả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Feature matrix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Train (307511, 149); test (48744, 149)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5-fold StratifiedKFold, shuffle, seed 42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Early stopping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200 rounds; tối đa 5,000 estimators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OOF coverage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Minimum 1, maximum 1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Fold AUC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0.765256; 0.775031; 0.766180; 0.771822; 0.765474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Mean fold AUC / std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0.768752 / 0.004428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Runtime model training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445.24 seconds</w:t>
            </w:r>
          </w:p>
        </w:tc>
      </w:tr>
      <w:tr>
        <w:trPr>
          <w:cantSplit/>
        </w:trPr>
        <w:tc>
          <w:tcPr>
            <w:tcW w:w="27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Output files</w:t>
            </w:r>
          </w:p>
        </w:tc>
        <w:tc>
          <w:tcPr>
            <w:tcW w:w="65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config, environment, fold metrics, OOF/test predictions, feature importance, run metadata và submission.csv</w:t>
            </w:r>
          </w:p>
        </w:tc>
      </w:tr>
    </w:tbl>
    <w:p>
      <w:pPr>
        <w:pStyle w:val="Heading1"/>
        <w:rPr/>
      </w:pPr>
      <w:r>
        <w:rPr>
          <w:b/>
          <w:color w:val="2E74B5"/>
          <w:sz w:val="32"/>
        </w:rPr>
        <w:t>4. Dự kiến công việc tiếp theo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Mở rộng xử lý Home Credit sang bureau, previous applications, installments, POS cash và credit-card balance bằng point-in-time aggregation có unit tests.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Phân tích feature engineering/feature selection: ablation có kiểm soát, importance stability, correlation/redundancy và leakage review.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Hoàn thiện pipeline: configuration, experiment tracking, tuning tách biệt, calibration, temporal validation và model documentation.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Tái sử dụng core modeling/evaluation/tuning modules cho các dataset credit scoring khác.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648" w:top="1440" w:footer="64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LibreOffice/26.2.5.2$Windows_X86_64 LibreOffice_project/cd7284b4cbbfeb507e630c1aac019f4157393acb</Application>
  <AppVersion>15.0000</AppVersion>
  <Pages>3</Pages>
  <Words>649</Words>
  <Characters>3692</Characters>
  <CharactersWithSpaces>4240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en-US</dc:language>
  <cp:lastModifiedBy/>
  <dcterms:modified xsi:type="dcterms:W3CDTF">2026-07-30T16:17:11Z</dcterms:modified>
  <cp:revision>6</cp:revision>
  <dc:subject/>
  <dc:title/>
</cp:coreProperties>
</file>