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236B73"/>
          <w:sz w:val="22"/>
        </w:rPr>
        <w:t>HIGH-LEVEL DESIGN</w:t>
      </w:r>
    </w:p>
    <w:p>
      <w:pPr>
        <w:pStyle w:val="Title"/>
        <w:jc w:val="center"/>
      </w:pPr>
      <w:r>
        <w:t>AI-Powered Retail</w:t>
        <w:br/>
        <w:t>Operations Copilot</w:t>
      </w:r>
    </w:p>
    <w:p>
      <w:pPr>
        <w:jc w:val="center"/>
      </w:pPr>
      <w:r>
        <w:rPr>
          <w:b/>
          <w:color w:val="236B73"/>
          <w:sz w:val="30"/>
        </w:rPr>
        <w:t>Punjab Sports Mart</w:t>
      </w:r>
    </w:p>
    <w:p>
      <w:pPr>
        <w:spacing w:before="280"/>
        <w:jc w:val="center"/>
      </w:pPr>
      <w:r>
        <w:rPr>
          <w:sz w:val="20"/>
        </w:rPr>
        <w:t>HCLTech Future Ready AI Engineer Hackathon</w:t>
        <w:br/>
        <w:t>Dr. B. R. Ambedkar NIT Jalandhar  |  10 October 2026</w:t>
      </w:r>
    </w:p>
    <w:p>
      <w:pPr>
        <w:spacing w:before="1100"/>
        <w:jc w:val="center"/>
      </w:pPr>
      <w:r>
        <w:rPr>
          <w:i/>
          <w:color w:val="506070"/>
          <w:sz w:val="24"/>
        </w:rPr>
        <w:t>A simple, evidence-grounded assistant for store operations</w:t>
      </w:r>
    </w:p>
    <w:p>
      <w:r>
        <w:br w:type="page"/>
      </w:r>
    </w:p>
    <w:p>
      <w:pPr>
        <w:pStyle w:val="Heading1"/>
      </w:pPr>
      <w:r>
        <w:t>1. Purpose and Scope</w:t>
      </w:r>
    </w:p>
    <w:p>
      <w:r>
        <w:t>This High-Level Design describes a small retail operations copilot for store employees and managers. It accepts a question or issue, checks safety, classifies the request, retrieves policy or business evidence when needed, recommends next steps, and routes cases that require human attention. The design uses one Python application with cooperating modules coordinated by a central orchestrator; it does not create a separate service for every agent.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tcMar>
              <w:top w:w="90" w:type="dxa"/>
              <w:start w:w="110" w:type="dxa"/>
              <w:bottom w:w="90" w:type="dxa"/>
              <w:end w:w="110" w:type="dxa"/>
            </w:tcMar>
            <w:shd w:fill="17324D"/>
          </w:tcPr>
          <w:p>
            <w:pPr>
              <w:spacing w:after="40" w:before="20"/>
            </w:pPr>
            <w:r>
              <w:rPr>
                <w:rFonts w:ascii="Aptos" w:hAnsi="Aptos"/>
                <w:b/>
                <w:color w:val="FFFFFF"/>
                <w:sz w:val="17"/>
              </w:rPr>
              <w:t>Design area</w:t>
            </w:r>
          </w:p>
        </w:tc>
        <w:tc>
          <w:tcPr>
            <w:tcW w:type="dxa" w:w="8136"/>
            <w:vAlign w:val="center"/>
            <w:tcMar>
              <w:top w:w="90" w:type="dxa"/>
              <w:start w:w="110" w:type="dxa"/>
              <w:bottom w:w="90" w:type="dxa"/>
              <w:end w:w="110" w:type="dxa"/>
            </w:tcMar>
            <w:shd w:fill="17324D"/>
          </w:tcPr>
          <w:p>
            <w:pPr>
              <w:spacing w:after="40" w:before="20"/>
            </w:pPr>
            <w:r>
              <w:rPr>
                <w:rFonts w:ascii="Aptos" w:hAnsi="Aptos"/>
                <w:b/>
                <w:color w:val="FFFFFF"/>
                <w:sz w:val="17"/>
              </w:rPr>
              <w:t>Decision</w:t>
            </w:r>
          </w:p>
        </w:tc>
      </w:tr>
      <w:tr>
        <w:tc>
          <w:tcPr>
            <w:tcW w:type="dxa" w:w="2088"/>
            <w:vAlign w:val="center"/>
            <w:tcMar>
              <w:top w:w="90" w:type="dxa"/>
              <w:start w:w="110" w:type="dxa"/>
              <w:bottom w:w="90" w:type="dxa"/>
              <w:end w:w="110" w:type="dxa"/>
            </w:tcMar>
          </w:tcPr>
          <w:p>
            <w:pPr>
              <w:spacing w:after="40" w:before="20"/>
            </w:pPr>
            <w:r>
              <w:rPr>
                <w:rFonts w:ascii="Aptos" w:hAnsi="Aptos"/>
                <w:sz w:val="17"/>
              </w:rPr>
              <w:t>Users</w:t>
            </w:r>
          </w:p>
        </w:tc>
        <w:tc>
          <w:tcPr>
            <w:tcW w:type="dxa" w:w="8136"/>
            <w:vAlign w:val="center"/>
            <w:tcMar>
              <w:top w:w="90" w:type="dxa"/>
              <w:start w:w="110" w:type="dxa"/>
              <w:bottom w:w="90" w:type="dxa"/>
              <w:end w:w="110" w:type="dxa"/>
            </w:tcMar>
          </w:tcPr>
          <w:p>
            <w:pPr>
              <w:spacing w:after="40" w:before="20"/>
            </w:pPr>
            <w:r>
              <w:rPr>
                <w:rFonts w:ascii="Aptos" w:hAnsi="Aptos"/>
                <w:sz w:val="17"/>
              </w:rPr>
              <w:t>Cashiers, inventory associates, store managers, customer service associates, and regional managers.</w:t>
            </w:r>
          </w:p>
        </w:tc>
      </w:tr>
      <w:tr>
        <w:tc>
          <w:tcPr>
            <w:tcW w:type="dxa" w:w="2088"/>
            <w:vAlign w:val="center"/>
            <w:tcMar>
              <w:top w:w="90" w:type="dxa"/>
              <w:start w:w="110" w:type="dxa"/>
              <w:bottom w:w="90" w:type="dxa"/>
              <w:end w:w="110" w:type="dxa"/>
            </w:tcMar>
            <w:shd w:fill="F3F6FA"/>
          </w:tcPr>
          <w:p>
            <w:pPr>
              <w:spacing w:after="40" w:before="20"/>
            </w:pPr>
            <w:r>
              <w:rPr>
                <w:rFonts w:ascii="Aptos" w:hAnsi="Aptos"/>
                <w:sz w:val="17"/>
              </w:rPr>
              <w:t>Primary capabilities</w:t>
            </w:r>
          </w:p>
        </w:tc>
        <w:tc>
          <w:tcPr>
            <w:tcW w:type="dxa" w:w="8136"/>
            <w:vAlign w:val="center"/>
            <w:tcMar>
              <w:top w:w="90" w:type="dxa"/>
              <w:start w:w="110" w:type="dxa"/>
              <w:bottom w:w="90" w:type="dxa"/>
              <w:end w:w="110" w:type="dxa"/>
            </w:tcMar>
            <w:shd w:fill="F3F6FA"/>
          </w:tcPr>
          <w:p>
            <w:pPr>
              <w:spacing w:after="40" w:before="20"/>
            </w:pPr>
            <w:r>
              <w:rPr>
                <w:rFonts w:ascii="Aptos" w:hAnsi="Aptos"/>
                <w:sz w:val="17"/>
              </w:rPr>
              <w:t>Issue triage, policy lookup with citations, deterministic analysis of supplied CSV data, safe recommendations, and simulated escalation.</w:t>
            </w:r>
          </w:p>
        </w:tc>
      </w:tr>
      <w:tr>
        <w:tc>
          <w:tcPr>
            <w:tcW w:type="dxa" w:w="2088"/>
            <w:vAlign w:val="center"/>
            <w:tcMar>
              <w:top w:w="90" w:type="dxa"/>
              <w:start w:w="110" w:type="dxa"/>
              <w:bottom w:w="90" w:type="dxa"/>
              <w:end w:w="110" w:type="dxa"/>
            </w:tcMar>
          </w:tcPr>
          <w:p>
            <w:pPr>
              <w:spacing w:after="40" w:before="20"/>
            </w:pPr>
            <w:r>
              <w:rPr>
                <w:rFonts w:ascii="Aptos" w:hAnsi="Aptos"/>
                <w:sz w:val="17"/>
              </w:rPr>
              <w:t>System boundary</w:t>
            </w:r>
          </w:p>
        </w:tc>
        <w:tc>
          <w:tcPr>
            <w:tcW w:type="dxa" w:w="8136"/>
            <w:vAlign w:val="center"/>
            <w:tcMar>
              <w:top w:w="90" w:type="dxa"/>
              <w:start w:w="110" w:type="dxa"/>
              <w:bottom w:w="90" w:type="dxa"/>
              <w:end w:w="110" w:type="dxa"/>
            </w:tcMar>
          </w:tcPr>
          <w:p>
            <w:pPr>
              <w:spacing w:after="40" w:before="20"/>
            </w:pPr>
            <w:r>
              <w:rPr>
                <w:rFonts w:ascii="Aptos" w:hAnsi="Aptos"/>
                <w:sz w:val="17"/>
              </w:rPr>
              <w:t>Prototype uses local policy Markdown files and CSV snapshots. It does not connect to live POS, ERP, payments, CRM, inventory, or vendor systems.</w:t>
            </w:r>
          </w:p>
        </w:tc>
      </w:tr>
      <w:tr>
        <w:tc>
          <w:tcPr>
            <w:tcW w:type="dxa" w:w="2088"/>
            <w:vAlign w:val="center"/>
            <w:tcMar>
              <w:top w:w="90" w:type="dxa"/>
              <w:start w:w="110" w:type="dxa"/>
              <w:bottom w:w="90" w:type="dxa"/>
              <w:end w:w="110" w:type="dxa"/>
            </w:tcMar>
            <w:shd w:fill="F3F6FA"/>
          </w:tcPr>
          <w:p>
            <w:pPr>
              <w:spacing w:after="40" w:before="20"/>
            </w:pPr>
            <w:r>
              <w:rPr>
                <w:rFonts w:ascii="Aptos" w:hAnsi="Aptos"/>
                <w:sz w:val="17"/>
              </w:rPr>
              <w:t>AI approach</w:t>
            </w:r>
          </w:p>
        </w:tc>
        <w:tc>
          <w:tcPr>
            <w:tcW w:type="dxa" w:w="8136"/>
            <w:vAlign w:val="center"/>
            <w:tcMar>
              <w:top w:w="90" w:type="dxa"/>
              <w:start w:w="110" w:type="dxa"/>
              <w:bottom w:w="90" w:type="dxa"/>
              <w:end w:w="110" w:type="dxa"/>
            </w:tcMar>
            <w:shd w:fill="F3F6FA"/>
          </w:tcPr>
          <w:p>
            <w:pPr>
              <w:spacing w:after="40" w:before="20"/>
            </w:pPr>
            <w:r>
              <w:rPr>
                <w:rFonts w:ascii="Aptos" w:hAnsi="Aptos"/>
                <w:sz w:val="17"/>
              </w:rPr>
              <w:t>Triage, safety, workflow, and numeric analysis use deterministic Python logic. Language models are not required in the baseline design.</w:t>
            </w:r>
          </w:p>
        </w:tc>
      </w:tr>
      <w:tr>
        <w:tc>
          <w:tcPr>
            <w:tcW w:type="dxa" w:w="2088"/>
            <w:vAlign w:val="center"/>
            <w:tcMar>
              <w:top w:w="90" w:type="dxa"/>
              <w:start w:w="110" w:type="dxa"/>
              <w:bottom w:w="90" w:type="dxa"/>
              <w:end w:w="110" w:type="dxa"/>
            </w:tcMar>
          </w:tcPr>
          <w:p>
            <w:pPr>
              <w:spacing w:after="40" w:before="20"/>
            </w:pPr>
            <w:r>
              <w:rPr>
                <w:rFonts w:ascii="Aptos" w:hAnsi="Aptos"/>
                <w:sz w:val="17"/>
              </w:rPr>
              <w:t>User experience</w:t>
            </w:r>
          </w:p>
        </w:tc>
        <w:tc>
          <w:tcPr>
            <w:tcW w:type="dxa" w:w="8136"/>
            <w:vAlign w:val="center"/>
            <w:tcMar>
              <w:top w:w="90" w:type="dxa"/>
              <w:start w:w="110" w:type="dxa"/>
              <w:bottom w:w="90" w:type="dxa"/>
              <w:end w:w="110" w:type="dxa"/>
            </w:tcMar>
          </w:tcPr>
          <w:p>
            <w:pPr>
              <w:spacing w:after="40" w:before="20"/>
            </w:pPr>
            <w:r>
              <w:rPr>
                <w:rFonts w:ascii="Aptos" w:hAnsi="Aptos"/>
                <w:sz w:val="17"/>
              </w:rPr>
              <w:t>A lightweight Streamlit application presents the question, response, evidence, priority, and routing status.</w:t>
            </w:r>
          </w:p>
        </w:tc>
      </w:tr>
    </w:tbl>
    <w:p>
      <w:pPr>
        <w:spacing w:after="0"/>
      </w:pPr>
    </w:p>
    <w:p>
      <w:pPr>
        <w:pStyle w:val="Heading1"/>
      </w:pPr>
      <w:r>
        <w:t>2. Architectural Principles</w:t>
      </w:r>
    </w:p>
    <w:p>
      <w:pPr>
        <w:pStyle w:val="ListBullet"/>
        <w:spacing w:after="60"/>
      </w:pPr>
      <w:r>
        <w:t>Keep one application and one runtime so the team can build and demonstrate it reliably.</w:t>
      </w:r>
    </w:p>
    <w:p>
      <w:pPr>
        <w:pStyle w:val="ListBullet"/>
        <w:spacing w:after="60"/>
      </w:pPr>
      <w:r>
        <w:t>Use separate modules with clear inputs and outputs to show agents cooperating without deploying separate services.</w:t>
      </w:r>
    </w:p>
    <w:p>
      <w:pPr>
        <w:pStyle w:val="ListBullet"/>
        <w:spacing w:after="60"/>
      </w:pPr>
      <w:r>
        <w:t>Run safety checks before normal processing and validate every response before display or export.</w:t>
      </w:r>
    </w:p>
    <w:p>
      <w:pPr>
        <w:pStyle w:val="ListBullet"/>
        <w:spacing w:after="60"/>
      </w:pPr>
      <w:r>
        <w:t>Use policy files for operational rules and CSV calculations for business facts; do not let a model invent either.</w:t>
      </w:r>
    </w:p>
    <w:p>
      <w:pPr>
        <w:pStyle w:val="ListBullet"/>
        <w:spacing w:after="60"/>
      </w:pPr>
      <w:r>
        <w:t>Route only to allowlisted data queries and simulated workflows. A person approves real-world actions.</w:t>
      </w:r>
    </w:p>
    <w:p>
      <w:pPr>
        <w:pStyle w:val="Heading1"/>
      </w:pPr>
      <w:r>
        <w:t>3. High-Level Architecture</w:t>
      </w:r>
    </w:p>
    <w:p>
      <w:r>
        <w:t>The orchestrator coordinates the request. A safety gate runs first. Safe requests go to triage, which provides category, priority, confidence, and rationale. The orchestrator then selects policy retrieval, CSV analysis, or both. A workflow agent applies escalation rules, the response composer explains supported next steps, and the validator checks the result before it is shown. Unsafe requests take the refusal and security-routing path.</w:t>
      </w:r>
    </w:p>
    <w:p>
      <w:pPr>
        <w:jc w:val="center"/>
      </w:pPr>
      <w:r>
        <w:drawing>
          <wp:inline xmlns:a="http://schemas.openxmlformats.org/drawingml/2006/main" xmlns:pic="http://schemas.openxmlformats.org/drawingml/2006/picture">
            <wp:extent cx="6309360" cy="6083892"/>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0"/>
                    <a:stretch>
                      <a:fillRect/>
                    </a:stretch>
                  </pic:blipFill>
                  <pic:spPr>
                    <a:xfrm>
                      <a:off x="0" y="0"/>
                      <a:ext cx="6309360" cy="6083892"/>
                    </a:xfrm>
                    <a:prstGeom prst="rect"/>
                  </pic:spPr>
                </pic:pic>
              </a:graphicData>
            </a:graphic>
          </wp:inline>
        </w:drawing>
      </w:r>
    </w:p>
    <w:p>
      <w:pPr>
        <w:jc w:val="center"/>
      </w:pPr>
      <w:r>
        <w:rPr>
          <w:i/>
          <w:sz w:val="16"/>
        </w:rPr>
        <w:t>Figure 1. Request flow through the copilot.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tcMar>
              <w:top w:w="90" w:type="dxa"/>
              <w:start w:w="110" w:type="dxa"/>
              <w:bottom w:w="90" w:type="dxa"/>
              <w:end w:w="110" w:type="dxa"/>
            </w:tcMar>
            <w:shd w:fill="17324D"/>
          </w:tcPr>
          <w:p>
            <w:pPr>
              <w:spacing w:after="40" w:before="20"/>
            </w:pPr>
            <w:r>
              <w:rPr>
                <w:rFonts w:ascii="Aptos" w:hAnsi="Aptos"/>
                <w:b/>
                <w:color w:val="FFFFFF"/>
                <w:sz w:val="17"/>
              </w:rPr>
              <w:t>Component</w:t>
            </w:r>
          </w:p>
        </w:tc>
        <w:tc>
          <w:tcPr>
            <w:tcW w:type="dxa" w:w="7776"/>
            <w:vAlign w:val="center"/>
            <w:tcMar>
              <w:top w:w="90" w:type="dxa"/>
              <w:start w:w="110" w:type="dxa"/>
              <w:bottom w:w="90" w:type="dxa"/>
              <w:end w:w="110" w:type="dxa"/>
            </w:tcMar>
            <w:shd w:fill="17324D"/>
          </w:tcPr>
          <w:p>
            <w:pPr>
              <w:spacing w:after="40" w:before="20"/>
            </w:pPr>
            <w:r>
              <w:rPr>
                <w:rFonts w:ascii="Aptos" w:hAnsi="Aptos"/>
                <w:b/>
                <w:color w:val="FFFFFF"/>
                <w:sz w:val="17"/>
              </w:rPr>
              <w:t>Purpose</w:t>
            </w:r>
          </w:p>
        </w:tc>
      </w:tr>
      <w:tr>
        <w:tc>
          <w:tcPr>
            <w:tcW w:type="dxa" w:w="2448"/>
            <w:vAlign w:val="center"/>
            <w:tcMar>
              <w:top w:w="90" w:type="dxa"/>
              <w:start w:w="110" w:type="dxa"/>
              <w:bottom w:w="90" w:type="dxa"/>
              <w:end w:w="110" w:type="dxa"/>
            </w:tcMar>
          </w:tcPr>
          <w:p>
            <w:pPr>
              <w:spacing w:after="40" w:before="20"/>
            </w:pPr>
            <w:r>
              <w:rPr>
                <w:rFonts w:ascii="Aptos" w:hAnsi="Aptos"/>
                <w:sz w:val="17"/>
              </w:rPr>
              <w:t>Streamlit interface</w:t>
            </w:r>
          </w:p>
        </w:tc>
        <w:tc>
          <w:tcPr>
            <w:tcW w:type="dxa" w:w="7776"/>
            <w:vAlign w:val="center"/>
            <w:tcMar>
              <w:top w:w="90" w:type="dxa"/>
              <w:start w:w="110" w:type="dxa"/>
              <w:bottom w:w="90" w:type="dxa"/>
              <w:end w:w="110" w:type="dxa"/>
            </w:tcMar>
          </w:tcPr>
          <w:p>
            <w:pPr>
              <w:spacing w:after="40" w:before="20"/>
            </w:pPr>
            <w:r>
              <w:rPr>
                <w:rFonts w:ascii="Aptos" w:hAnsi="Aptos"/>
                <w:sz w:val="17"/>
              </w:rPr>
              <w:t>Collects employee text and displays the validated answer and supporting details.</w:t>
            </w:r>
          </w:p>
        </w:tc>
      </w:tr>
      <w:tr>
        <w:tc>
          <w:tcPr>
            <w:tcW w:type="dxa" w:w="2448"/>
            <w:vAlign w:val="center"/>
            <w:tcMar>
              <w:top w:w="90" w:type="dxa"/>
              <w:start w:w="110" w:type="dxa"/>
              <w:bottom w:w="90" w:type="dxa"/>
              <w:end w:w="110" w:type="dxa"/>
            </w:tcMar>
            <w:shd w:fill="F3F6FA"/>
          </w:tcPr>
          <w:p>
            <w:pPr>
              <w:spacing w:after="40" w:before="20"/>
            </w:pPr>
            <w:r>
              <w:rPr>
                <w:rFonts w:ascii="Aptos" w:hAnsi="Aptos"/>
                <w:sz w:val="17"/>
              </w:rPr>
              <w:t>Central orchestrator</w:t>
            </w:r>
          </w:p>
        </w:tc>
        <w:tc>
          <w:tcPr>
            <w:tcW w:type="dxa" w:w="7776"/>
            <w:vAlign w:val="center"/>
            <w:tcMar>
              <w:top w:w="90" w:type="dxa"/>
              <w:start w:w="110" w:type="dxa"/>
              <w:bottom w:w="90" w:type="dxa"/>
              <w:end w:w="110" w:type="dxa"/>
            </w:tcMar>
            <w:shd w:fill="F3F6FA"/>
          </w:tcPr>
          <w:p>
            <w:pPr>
              <w:spacing w:after="40" w:before="20"/>
            </w:pPr>
            <w:r>
              <w:rPr>
                <w:rFonts w:ascii="Aptos" w:hAnsi="Aptos"/>
                <w:sz w:val="17"/>
              </w:rPr>
              <w:t>Coordinates modules and selects evidence paths based on triage and request intent.</w:t>
            </w:r>
          </w:p>
        </w:tc>
      </w:tr>
      <w:tr>
        <w:tc>
          <w:tcPr>
            <w:tcW w:type="dxa" w:w="2448"/>
            <w:vAlign w:val="center"/>
            <w:tcMar>
              <w:top w:w="90" w:type="dxa"/>
              <w:start w:w="110" w:type="dxa"/>
              <w:bottom w:w="90" w:type="dxa"/>
              <w:end w:w="110" w:type="dxa"/>
            </w:tcMar>
          </w:tcPr>
          <w:p>
            <w:pPr>
              <w:spacing w:after="40" w:before="20"/>
            </w:pPr>
            <w:r>
              <w:rPr>
                <w:rFonts w:ascii="Aptos" w:hAnsi="Aptos"/>
                <w:sz w:val="17"/>
              </w:rPr>
              <w:t>Safety and triage modules</w:t>
            </w:r>
          </w:p>
        </w:tc>
        <w:tc>
          <w:tcPr>
            <w:tcW w:type="dxa" w:w="7776"/>
            <w:vAlign w:val="center"/>
            <w:tcMar>
              <w:top w:w="90" w:type="dxa"/>
              <w:start w:w="110" w:type="dxa"/>
              <w:bottom w:w="90" w:type="dxa"/>
              <w:end w:w="110" w:type="dxa"/>
            </w:tcMar>
          </w:tcPr>
          <w:p>
            <w:pPr>
              <w:spacing w:after="40" w:before="20"/>
            </w:pPr>
            <w:r>
              <w:rPr>
                <w:rFonts w:ascii="Aptos" w:hAnsi="Aptos"/>
                <w:sz w:val="17"/>
              </w:rPr>
              <w:t>Protect sensitive information and assess the category, urgency, and confidence.</w:t>
            </w:r>
          </w:p>
        </w:tc>
      </w:tr>
      <w:tr>
        <w:tc>
          <w:tcPr>
            <w:tcW w:type="dxa" w:w="2448"/>
            <w:vAlign w:val="center"/>
            <w:tcMar>
              <w:top w:w="90" w:type="dxa"/>
              <w:start w:w="110" w:type="dxa"/>
              <w:bottom w:w="90" w:type="dxa"/>
              <w:end w:w="110" w:type="dxa"/>
            </w:tcMar>
            <w:shd w:fill="F3F6FA"/>
          </w:tcPr>
          <w:p>
            <w:pPr>
              <w:spacing w:after="40" w:before="20"/>
            </w:pPr>
            <w:r>
              <w:rPr>
                <w:rFonts w:ascii="Aptos" w:hAnsi="Aptos"/>
                <w:sz w:val="17"/>
              </w:rPr>
              <w:t>Knowledge and retail data agents</w:t>
            </w:r>
          </w:p>
        </w:tc>
        <w:tc>
          <w:tcPr>
            <w:tcW w:type="dxa" w:w="7776"/>
            <w:vAlign w:val="center"/>
            <w:tcMar>
              <w:top w:w="90" w:type="dxa"/>
              <w:start w:w="110" w:type="dxa"/>
              <w:bottom w:w="90" w:type="dxa"/>
              <w:end w:w="110" w:type="dxa"/>
            </w:tcMar>
            <w:shd w:fill="F3F6FA"/>
          </w:tcPr>
          <w:p>
            <w:pPr>
              <w:spacing w:after="40" w:before="20"/>
            </w:pPr>
            <w:r>
              <w:rPr>
                <w:rFonts w:ascii="Aptos" w:hAnsi="Aptos"/>
                <w:sz w:val="17"/>
              </w:rPr>
              <w:t>Return cited policy passages and deterministic facts from approved local files.</w:t>
            </w:r>
          </w:p>
        </w:tc>
      </w:tr>
      <w:tr>
        <w:tc>
          <w:tcPr>
            <w:tcW w:type="dxa" w:w="2448"/>
            <w:vAlign w:val="center"/>
            <w:tcMar>
              <w:top w:w="90" w:type="dxa"/>
              <w:start w:w="110" w:type="dxa"/>
              <w:bottom w:w="90" w:type="dxa"/>
              <w:end w:w="110" w:type="dxa"/>
            </w:tcMar>
          </w:tcPr>
          <w:p>
            <w:pPr>
              <w:spacing w:after="40" w:before="20"/>
            </w:pPr>
            <w:r>
              <w:rPr>
                <w:rFonts w:ascii="Aptos" w:hAnsi="Aptos"/>
                <w:sz w:val="17"/>
              </w:rPr>
              <w:t>Workflow and response modules</w:t>
            </w:r>
          </w:p>
        </w:tc>
        <w:tc>
          <w:tcPr>
            <w:tcW w:type="dxa" w:w="7776"/>
            <w:vAlign w:val="center"/>
            <w:tcMar>
              <w:top w:w="90" w:type="dxa"/>
              <w:start w:w="110" w:type="dxa"/>
              <w:bottom w:w="90" w:type="dxa"/>
              <w:end w:w="110" w:type="dxa"/>
            </w:tcMar>
          </w:tcPr>
          <w:p>
            <w:pPr>
              <w:spacing w:after="40" w:before="20"/>
            </w:pPr>
            <w:r>
              <w:rPr>
                <w:rFonts w:ascii="Aptos" w:hAnsi="Aptos"/>
                <w:sz w:val="17"/>
              </w:rPr>
              <w:t>Apply escalation rules, compose a grounded answer, and validate required fields.</w:t>
            </w:r>
          </w:p>
        </w:tc>
      </w:tr>
      <w:tr>
        <w:tc>
          <w:tcPr>
            <w:tcW w:type="dxa" w:w="2448"/>
            <w:vAlign w:val="center"/>
            <w:tcMar>
              <w:top w:w="90" w:type="dxa"/>
              <w:start w:w="110" w:type="dxa"/>
              <w:bottom w:w="90" w:type="dxa"/>
              <w:end w:w="110" w:type="dxa"/>
            </w:tcMar>
            <w:shd w:fill="F3F6FA"/>
          </w:tcPr>
          <w:p>
            <w:pPr>
              <w:spacing w:after="40" w:before="20"/>
            </w:pPr>
            <w:r>
              <w:rPr>
                <w:rFonts w:ascii="Aptos" w:hAnsi="Aptos"/>
                <w:sz w:val="17"/>
              </w:rPr>
              <w:t>Evaluation runner</w:t>
            </w:r>
          </w:p>
        </w:tc>
        <w:tc>
          <w:tcPr>
            <w:tcW w:type="dxa" w:w="7776"/>
            <w:vAlign w:val="center"/>
            <w:tcMar>
              <w:top w:w="90" w:type="dxa"/>
              <w:start w:w="110" w:type="dxa"/>
              <w:bottom w:w="90" w:type="dxa"/>
              <w:end w:w="110" w:type="dxa"/>
            </w:tcMar>
            <w:shd w:fill="F3F6FA"/>
          </w:tcPr>
          <w:p>
            <w:pPr>
              <w:spacing w:after="40" w:before="20"/>
            </w:pPr>
            <w:r>
              <w:rPr>
                <w:rFonts w:ascii="Aptos" w:hAnsi="Aptos"/>
                <w:sz w:val="17"/>
              </w:rPr>
              <w:t>Uses the same orchestrator for public cases and writes predictions and measured metrics.</w:t>
            </w:r>
          </w:p>
        </w:tc>
      </w:tr>
    </w:tbl>
    <w:p>
      <w:pPr>
        <w:spacing w:after="0"/>
      </w:pPr>
    </w:p>
    <w:p>
      <w:pPr>
        <w:pStyle w:val="Heading1"/>
      </w:pPr>
      <w:r>
        <w:t>4. Technology Stack by Layer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43"/>
            <w:vAlign w:val="center"/>
            <w:tcMar>
              <w:top w:w="90" w:type="dxa"/>
              <w:start w:w="110" w:type="dxa"/>
              <w:bottom w:w="90" w:type="dxa"/>
              <w:end w:w="110" w:type="dxa"/>
            </w:tcMar>
            <w:shd w:fill="17324D"/>
          </w:tcPr>
          <w:p>
            <w:pPr>
              <w:spacing w:after="40" w:before="20"/>
            </w:pPr>
            <w:r>
              <w:rPr>
                <w:rFonts w:ascii="Aptos" w:hAnsi="Aptos"/>
                <w:b/>
                <w:color w:val="FFFFFF"/>
                <w:sz w:val="17"/>
              </w:rPr>
              <w:t>Layer</w:t>
            </w:r>
          </w:p>
        </w:tc>
        <w:tc>
          <w:tcPr>
            <w:tcW w:type="dxa" w:w="3139"/>
            <w:vAlign w:val="center"/>
            <w:tcMar>
              <w:top w:w="90" w:type="dxa"/>
              <w:start w:w="110" w:type="dxa"/>
              <w:bottom w:w="90" w:type="dxa"/>
              <w:end w:w="110" w:type="dxa"/>
            </w:tcMar>
            <w:shd w:fill="17324D"/>
          </w:tcPr>
          <w:p>
            <w:pPr>
              <w:spacing w:after="40" w:before="20"/>
            </w:pPr>
            <w:r>
              <w:rPr>
                <w:rFonts w:ascii="Aptos" w:hAnsi="Aptos"/>
                <w:b/>
                <w:color w:val="FFFFFF"/>
                <w:sz w:val="17"/>
              </w:rPr>
              <w:t>Technology</w:t>
            </w:r>
          </w:p>
        </w:tc>
        <w:tc>
          <w:tcPr>
            <w:tcW w:type="dxa" w:w="5242"/>
            <w:vAlign w:val="center"/>
            <w:tcMar>
              <w:top w:w="90" w:type="dxa"/>
              <w:start w:w="110" w:type="dxa"/>
              <w:bottom w:w="90" w:type="dxa"/>
              <w:end w:w="110" w:type="dxa"/>
            </w:tcMar>
            <w:shd w:fill="17324D"/>
          </w:tcPr>
          <w:p>
            <w:pPr>
              <w:spacing w:after="40" w:before="20"/>
            </w:pPr>
            <w:r>
              <w:rPr>
                <w:rFonts w:ascii="Aptos" w:hAnsi="Aptos"/>
                <w:b/>
                <w:color w:val="FFFFFF"/>
                <w:sz w:val="17"/>
              </w:rPr>
              <w:t>Role in this design</w:t>
            </w:r>
          </w:p>
        </w:tc>
      </w:tr>
      <w:tr>
        <w:tc>
          <w:tcPr>
            <w:tcW w:type="dxa" w:w="1843"/>
            <w:vAlign w:val="center"/>
            <w:tcMar>
              <w:top w:w="90" w:type="dxa"/>
              <w:start w:w="110" w:type="dxa"/>
              <w:bottom w:w="90" w:type="dxa"/>
              <w:end w:w="110" w:type="dxa"/>
            </w:tcMar>
          </w:tcPr>
          <w:p>
            <w:pPr>
              <w:spacing w:after="40" w:before="20"/>
            </w:pPr>
            <w:r>
              <w:rPr>
                <w:rFonts w:ascii="Aptos" w:hAnsi="Aptos"/>
                <w:sz w:val="17"/>
              </w:rPr>
              <w:t>Presentation</w:t>
            </w:r>
          </w:p>
        </w:tc>
        <w:tc>
          <w:tcPr>
            <w:tcW w:type="dxa" w:w="3139"/>
            <w:vAlign w:val="center"/>
            <w:tcMar>
              <w:top w:w="90" w:type="dxa"/>
              <w:start w:w="110" w:type="dxa"/>
              <w:bottom w:w="90" w:type="dxa"/>
              <w:end w:w="110" w:type="dxa"/>
            </w:tcMar>
          </w:tcPr>
          <w:p>
            <w:pPr>
              <w:spacing w:after="40" w:before="20"/>
            </w:pPr>
            <w:r>
              <w:rPr>
                <w:rFonts w:ascii="Aptos" w:hAnsi="Aptos"/>
                <w:sz w:val="17"/>
              </w:rPr>
              <w:t>Python, Streamlit</w:t>
            </w:r>
          </w:p>
        </w:tc>
        <w:tc>
          <w:tcPr>
            <w:tcW w:type="dxa" w:w="5242"/>
            <w:vAlign w:val="center"/>
            <w:tcMar>
              <w:top w:w="90" w:type="dxa"/>
              <w:start w:w="110" w:type="dxa"/>
              <w:bottom w:w="90" w:type="dxa"/>
              <w:end w:w="110" w:type="dxa"/>
            </w:tcMar>
          </w:tcPr>
          <w:p>
            <w:pPr>
              <w:spacing w:after="40" w:before="20"/>
            </w:pPr>
            <w:r>
              <w:rPr>
                <w:rFonts w:ascii="Aptos" w:hAnsi="Aptos"/>
                <w:sz w:val="17"/>
              </w:rPr>
              <w:t>Simple local web UI for question entry and response display.</w:t>
            </w:r>
          </w:p>
        </w:tc>
      </w:tr>
      <w:tr>
        <w:tc>
          <w:tcPr>
            <w:tcW w:type="dxa" w:w="1843"/>
            <w:vAlign w:val="center"/>
            <w:tcMar>
              <w:top w:w="90" w:type="dxa"/>
              <w:start w:w="110" w:type="dxa"/>
              <w:bottom w:w="90" w:type="dxa"/>
              <w:end w:w="110" w:type="dxa"/>
            </w:tcMar>
            <w:shd w:fill="F3F6FA"/>
          </w:tcPr>
          <w:p>
            <w:pPr>
              <w:spacing w:after="40" w:before="20"/>
            </w:pPr>
            <w:r>
              <w:rPr>
                <w:rFonts w:ascii="Aptos" w:hAnsi="Aptos"/>
                <w:sz w:val="17"/>
              </w:rPr>
              <w:t>Application / orchestration</w:t>
            </w:r>
          </w:p>
        </w:tc>
        <w:tc>
          <w:tcPr>
            <w:tcW w:type="dxa" w:w="3139"/>
            <w:vAlign w:val="center"/>
            <w:tcMar>
              <w:top w:w="90" w:type="dxa"/>
              <w:start w:w="110" w:type="dxa"/>
              <w:bottom w:w="90" w:type="dxa"/>
              <w:end w:w="110" w:type="dxa"/>
            </w:tcMar>
            <w:shd w:fill="F3F6FA"/>
          </w:tcPr>
          <w:p>
            <w:pPr>
              <w:spacing w:after="40" w:before="20"/>
            </w:pPr>
            <w:r>
              <w:rPr>
                <w:rFonts w:ascii="Aptos" w:hAnsi="Aptos"/>
                <w:sz w:val="17"/>
              </w:rPr>
              <w:t>Python 3.11+; ordinary Python modules and functions</w:t>
            </w:r>
          </w:p>
        </w:tc>
        <w:tc>
          <w:tcPr>
            <w:tcW w:type="dxa" w:w="5242"/>
            <w:vAlign w:val="center"/>
            <w:tcMar>
              <w:top w:w="90" w:type="dxa"/>
              <w:start w:w="110" w:type="dxa"/>
              <w:bottom w:w="90" w:type="dxa"/>
              <w:end w:w="110" w:type="dxa"/>
            </w:tcMar>
            <w:shd w:fill="F3F6FA"/>
          </w:tcPr>
          <w:p>
            <w:pPr>
              <w:spacing w:after="40" w:before="20"/>
            </w:pPr>
            <w:r>
              <w:rPr>
                <w:rFonts w:ascii="Aptos" w:hAnsi="Aptos"/>
                <w:sz w:val="17"/>
              </w:rPr>
              <w:t>One process coordinates the agents and routes requests.</w:t>
            </w:r>
          </w:p>
        </w:tc>
      </w:tr>
      <w:tr>
        <w:tc>
          <w:tcPr>
            <w:tcW w:type="dxa" w:w="1843"/>
            <w:vAlign w:val="center"/>
            <w:tcMar>
              <w:top w:w="90" w:type="dxa"/>
              <w:start w:w="110" w:type="dxa"/>
              <w:bottom w:w="90" w:type="dxa"/>
              <w:end w:w="110" w:type="dxa"/>
            </w:tcMar>
          </w:tcPr>
          <w:p>
            <w:pPr>
              <w:spacing w:after="40" w:before="20"/>
            </w:pPr>
            <w:r>
              <w:rPr>
                <w:rFonts w:ascii="Aptos" w:hAnsi="Aptos"/>
                <w:sz w:val="17"/>
              </w:rPr>
              <w:t>Safety and triage</w:t>
            </w:r>
          </w:p>
        </w:tc>
        <w:tc>
          <w:tcPr>
            <w:tcW w:type="dxa" w:w="3139"/>
            <w:vAlign w:val="center"/>
            <w:tcMar>
              <w:top w:w="90" w:type="dxa"/>
              <w:start w:w="110" w:type="dxa"/>
              <w:bottom w:w="90" w:type="dxa"/>
              <w:end w:w="110" w:type="dxa"/>
            </w:tcMar>
          </w:tcPr>
          <w:p>
            <w:pPr>
              <w:spacing w:after="40" w:before="20"/>
            </w:pPr>
            <w:r>
              <w:rPr>
                <w:rFonts w:ascii="Aptos" w:hAnsi="Aptos"/>
                <w:sz w:val="17"/>
              </w:rPr>
              <w:t>Python standard library (regular expressions, keyword/rule matching)</w:t>
            </w:r>
          </w:p>
        </w:tc>
        <w:tc>
          <w:tcPr>
            <w:tcW w:type="dxa" w:w="5242"/>
            <w:vAlign w:val="center"/>
            <w:tcMar>
              <w:top w:w="90" w:type="dxa"/>
              <w:start w:w="110" w:type="dxa"/>
              <w:bottom w:w="90" w:type="dxa"/>
              <w:end w:w="110" w:type="dxa"/>
            </w:tcMar>
          </w:tcPr>
          <w:p>
            <w:pPr>
              <w:spacing w:after="40" w:before="20"/>
            </w:pPr>
            <w:r>
              <w:rPr>
                <w:rFonts w:ascii="Aptos" w:hAnsi="Aptos"/>
                <w:sz w:val="17"/>
              </w:rPr>
              <w:t>PII pattern masking, restricted-request detection, category rules, priority overrides, and confidence heuristic.</w:t>
            </w:r>
          </w:p>
        </w:tc>
      </w:tr>
      <w:tr>
        <w:tc>
          <w:tcPr>
            <w:tcW w:type="dxa" w:w="1843"/>
            <w:vAlign w:val="center"/>
            <w:tcMar>
              <w:top w:w="90" w:type="dxa"/>
              <w:start w:w="110" w:type="dxa"/>
              <w:bottom w:w="90" w:type="dxa"/>
              <w:end w:w="110" w:type="dxa"/>
            </w:tcMar>
            <w:shd w:fill="F3F6FA"/>
          </w:tcPr>
          <w:p>
            <w:pPr>
              <w:spacing w:after="40" w:before="20"/>
            </w:pPr>
            <w:r>
              <w:rPr>
                <w:rFonts w:ascii="Aptos" w:hAnsi="Aptos"/>
                <w:sz w:val="17"/>
              </w:rPr>
              <w:t>Policy retrieval</w:t>
            </w:r>
          </w:p>
        </w:tc>
        <w:tc>
          <w:tcPr>
            <w:tcW w:type="dxa" w:w="3139"/>
            <w:vAlign w:val="center"/>
            <w:tcMar>
              <w:top w:w="90" w:type="dxa"/>
              <w:start w:w="110" w:type="dxa"/>
              <w:bottom w:w="90" w:type="dxa"/>
              <w:end w:w="110" w:type="dxa"/>
            </w:tcMar>
            <w:shd w:fill="F3F6FA"/>
          </w:tcPr>
          <w:p>
            <w:pPr>
              <w:spacing w:after="40" w:before="20"/>
            </w:pPr>
            <w:r>
              <w:rPr>
                <w:rFonts w:ascii="Aptos" w:hAnsi="Aptos"/>
                <w:sz w:val="17"/>
              </w:rPr>
              <w:t>Markdown files; scikit-learn TF-IDF vectorization and cosine similarity</w:t>
            </w:r>
          </w:p>
        </w:tc>
        <w:tc>
          <w:tcPr>
            <w:tcW w:type="dxa" w:w="5242"/>
            <w:vAlign w:val="center"/>
            <w:tcMar>
              <w:top w:w="90" w:type="dxa"/>
              <w:start w:w="110" w:type="dxa"/>
              <w:bottom w:w="90" w:type="dxa"/>
              <w:end w:w="110" w:type="dxa"/>
            </w:tcMar>
            <w:shd w:fill="F3F6FA"/>
          </w:tcPr>
          <w:p>
            <w:pPr>
              <w:spacing w:after="40" w:before="20"/>
            </w:pPr>
            <w:r>
              <w:rPr>
                <w:rFonts w:ascii="Aptos" w:hAnsi="Aptos"/>
                <w:sz w:val="17"/>
              </w:rPr>
              <w:t>Indexes policy sections in memory and retrieves relevant passages with source metadata.</w:t>
            </w:r>
          </w:p>
        </w:tc>
      </w:tr>
      <w:tr>
        <w:tc>
          <w:tcPr>
            <w:tcW w:type="dxa" w:w="1843"/>
            <w:vAlign w:val="center"/>
            <w:tcMar>
              <w:top w:w="90" w:type="dxa"/>
              <w:start w:w="110" w:type="dxa"/>
              <w:bottom w:w="90" w:type="dxa"/>
              <w:end w:w="110" w:type="dxa"/>
            </w:tcMar>
          </w:tcPr>
          <w:p>
            <w:pPr>
              <w:spacing w:after="40" w:before="20"/>
            </w:pPr>
            <w:r>
              <w:rPr>
                <w:rFonts w:ascii="Aptos" w:hAnsi="Aptos"/>
                <w:sz w:val="17"/>
              </w:rPr>
              <w:t>Structured data analysis</w:t>
            </w:r>
          </w:p>
        </w:tc>
        <w:tc>
          <w:tcPr>
            <w:tcW w:type="dxa" w:w="3139"/>
            <w:vAlign w:val="center"/>
            <w:tcMar>
              <w:top w:w="90" w:type="dxa"/>
              <w:start w:w="110" w:type="dxa"/>
              <w:bottom w:w="90" w:type="dxa"/>
              <w:end w:w="110" w:type="dxa"/>
            </w:tcMar>
          </w:tcPr>
          <w:p>
            <w:pPr>
              <w:spacing w:after="40" w:before="20"/>
            </w:pPr>
            <w:r>
              <w:rPr>
                <w:rFonts w:ascii="Aptos" w:hAnsi="Aptos"/>
                <w:sz w:val="17"/>
              </w:rPr>
              <w:t>pandas</w:t>
            </w:r>
          </w:p>
        </w:tc>
        <w:tc>
          <w:tcPr>
            <w:tcW w:type="dxa" w:w="5242"/>
            <w:vAlign w:val="center"/>
            <w:tcMar>
              <w:top w:w="90" w:type="dxa"/>
              <w:start w:w="110" w:type="dxa"/>
              <w:bottom w:w="90" w:type="dxa"/>
              <w:end w:w="110" w:type="dxa"/>
            </w:tcMar>
          </w:tcPr>
          <w:p>
            <w:pPr>
              <w:spacing w:after="40" w:before="20"/>
            </w:pPr>
            <w:r>
              <w:rPr>
                <w:rFonts w:ascii="Aptos" w:hAnsi="Aptos"/>
                <w:sz w:val="17"/>
              </w:rPr>
              <w:t>Loads and filters supplied CSV files, performs joins, counts, and comparisons.</w:t>
            </w:r>
          </w:p>
        </w:tc>
      </w:tr>
      <w:tr>
        <w:tc>
          <w:tcPr>
            <w:tcW w:type="dxa" w:w="1843"/>
            <w:vAlign w:val="center"/>
            <w:tcMar>
              <w:top w:w="90" w:type="dxa"/>
              <w:start w:w="110" w:type="dxa"/>
              <w:bottom w:w="90" w:type="dxa"/>
              <w:end w:w="110" w:type="dxa"/>
            </w:tcMar>
            <w:shd w:fill="F3F6FA"/>
          </w:tcPr>
          <w:p>
            <w:pPr>
              <w:spacing w:after="40" w:before="20"/>
            </w:pPr>
            <w:r>
              <w:rPr>
                <w:rFonts w:ascii="Aptos" w:hAnsi="Aptos"/>
                <w:sz w:val="17"/>
              </w:rPr>
              <w:t>Workflow / validation</w:t>
            </w:r>
          </w:p>
        </w:tc>
        <w:tc>
          <w:tcPr>
            <w:tcW w:type="dxa" w:w="3139"/>
            <w:vAlign w:val="center"/>
            <w:tcMar>
              <w:top w:w="90" w:type="dxa"/>
              <w:start w:w="110" w:type="dxa"/>
              <w:bottom w:w="90" w:type="dxa"/>
              <w:end w:w="110" w:type="dxa"/>
            </w:tcMar>
            <w:shd w:fill="F3F6FA"/>
          </w:tcPr>
          <w:p>
            <w:pPr>
              <w:spacing w:after="40" w:before="20"/>
            </w:pPr>
            <w:r>
              <w:rPr>
                <w:rFonts w:ascii="Aptos" w:hAnsi="Aptos"/>
                <w:sz w:val="17"/>
              </w:rPr>
              <w:t>Python standard library; pandas for escalation matrix lookup</w:t>
            </w:r>
          </w:p>
        </w:tc>
        <w:tc>
          <w:tcPr>
            <w:tcW w:type="dxa" w:w="5242"/>
            <w:vAlign w:val="center"/>
            <w:tcMar>
              <w:top w:w="90" w:type="dxa"/>
              <w:start w:w="110" w:type="dxa"/>
              <w:bottom w:w="90" w:type="dxa"/>
              <w:end w:w="110" w:type="dxa"/>
            </w:tcMar>
            <w:shd w:fill="F3F6FA"/>
          </w:tcPr>
          <w:p>
            <w:pPr>
              <w:spacing w:after="40" w:before="20"/>
            </w:pPr>
            <w:r>
              <w:rPr>
                <w:rFonts w:ascii="Aptos" w:hAnsi="Aptos"/>
                <w:sz w:val="17"/>
              </w:rPr>
              <w:t>Applies deterministic routing, checks response fields and citation provenance, and prepares simulated ticket details.</w:t>
            </w:r>
          </w:p>
        </w:tc>
      </w:tr>
      <w:tr>
        <w:tc>
          <w:tcPr>
            <w:tcW w:type="dxa" w:w="1843"/>
            <w:vAlign w:val="center"/>
            <w:tcMar>
              <w:top w:w="90" w:type="dxa"/>
              <w:start w:w="110" w:type="dxa"/>
              <w:bottom w:w="90" w:type="dxa"/>
              <w:end w:w="110" w:type="dxa"/>
            </w:tcMar>
          </w:tcPr>
          <w:p>
            <w:pPr>
              <w:spacing w:after="40" w:before="20"/>
            </w:pPr>
            <w:r>
              <w:rPr>
                <w:rFonts w:ascii="Aptos" w:hAnsi="Aptos"/>
                <w:sz w:val="17"/>
              </w:rPr>
              <w:t>Evaluation / outputs</w:t>
            </w:r>
          </w:p>
        </w:tc>
        <w:tc>
          <w:tcPr>
            <w:tcW w:type="dxa" w:w="3139"/>
            <w:vAlign w:val="center"/>
            <w:tcMar>
              <w:top w:w="90" w:type="dxa"/>
              <w:start w:w="110" w:type="dxa"/>
              <w:bottom w:w="90" w:type="dxa"/>
              <w:end w:w="110" w:type="dxa"/>
            </w:tcMar>
          </w:tcPr>
          <w:p>
            <w:pPr>
              <w:spacing w:after="40" w:before="20"/>
            </w:pPr>
            <w:r>
              <w:rPr>
                <w:rFonts w:ascii="Aptos" w:hAnsi="Aptos"/>
                <w:sz w:val="17"/>
              </w:rPr>
              <w:t>Python; pandas; CSV files</w:t>
            </w:r>
          </w:p>
        </w:tc>
        <w:tc>
          <w:tcPr>
            <w:tcW w:type="dxa" w:w="5242"/>
            <w:vAlign w:val="center"/>
            <w:tcMar>
              <w:top w:w="90" w:type="dxa"/>
              <w:start w:w="110" w:type="dxa"/>
              <w:bottom w:w="90" w:type="dxa"/>
              <w:end w:w="110" w:type="dxa"/>
            </w:tcMar>
          </w:tcPr>
          <w:p>
            <w:pPr>
              <w:spacing w:after="40" w:before="20"/>
            </w:pPr>
            <w:r>
              <w:rPr>
                <w:rFonts w:ascii="Aptos" w:hAnsi="Aptos"/>
                <w:sz w:val="17"/>
              </w:rPr>
              <w:t>Runs public test cases through the same pipeline and writes schema-aligned predictions and a metrics report.</w:t>
            </w:r>
          </w:p>
        </w:tc>
      </w:tr>
      <w:tr>
        <w:tc>
          <w:tcPr>
            <w:tcW w:type="dxa" w:w="1843"/>
            <w:vAlign w:val="center"/>
            <w:tcMar>
              <w:top w:w="90" w:type="dxa"/>
              <w:start w:w="110" w:type="dxa"/>
              <w:bottom w:w="90" w:type="dxa"/>
              <w:end w:w="110" w:type="dxa"/>
            </w:tcMar>
            <w:shd w:fill="F3F6FA"/>
          </w:tcPr>
          <w:p>
            <w:pPr>
              <w:spacing w:after="40" w:before="20"/>
            </w:pPr>
            <w:r>
              <w:rPr>
                <w:rFonts w:ascii="Aptos" w:hAnsi="Aptos"/>
                <w:sz w:val="17"/>
              </w:rPr>
              <w:t>Storage</w:t>
            </w:r>
          </w:p>
        </w:tc>
        <w:tc>
          <w:tcPr>
            <w:tcW w:type="dxa" w:w="3139"/>
            <w:vAlign w:val="center"/>
            <w:tcMar>
              <w:top w:w="90" w:type="dxa"/>
              <w:start w:w="110" w:type="dxa"/>
              <w:bottom w:w="90" w:type="dxa"/>
              <w:end w:w="110" w:type="dxa"/>
            </w:tcMar>
            <w:shd w:fill="F3F6FA"/>
          </w:tcPr>
          <w:p>
            <w:pPr>
              <w:spacing w:after="40" w:before="20"/>
            </w:pPr>
            <w:r>
              <w:rPr>
                <w:rFonts w:ascii="Aptos" w:hAnsi="Aptos"/>
                <w:sz w:val="17"/>
              </w:rPr>
              <w:t>Local Markdown, CSV, and output files; in-memory retrieval index</w:t>
            </w:r>
          </w:p>
        </w:tc>
        <w:tc>
          <w:tcPr>
            <w:tcW w:type="dxa" w:w="5242"/>
            <w:vAlign w:val="center"/>
            <w:tcMar>
              <w:top w:w="90" w:type="dxa"/>
              <w:start w:w="110" w:type="dxa"/>
              <w:bottom w:w="90" w:type="dxa"/>
              <w:end w:w="110" w:type="dxa"/>
            </w:tcMar>
            <w:shd w:fill="F3F6FA"/>
          </w:tcPr>
          <w:p>
            <w:pPr>
              <w:spacing w:after="40" w:before="20"/>
            </w:pPr>
            <w:r>
              <w:rPr>
                <w:rFonts w:ascii="Aptos" w:hAnsi="Aptos"/>
                <w:sz w:val="17"/>
              </w:rPr>
              <w:t>No database or external storage service is needed for the prototype.</w:t>
            </w:r>
          </w:p>
        </w:tc>
      </w:tr>
      <w:tr>
        <w:tc>
          <w:tcPr>
            <w:tcW w:type="dxa" w:w="1843"/>
            <w:vAlign w:val="center"/>
            <w:tcMar>
              <w:top w:w="90" w:type="dxa"/>
              <w:start w:w="110" w:type="dxa"/>
              <w:bottom w:w="90" w:type="dxa"/>
              <w:end w:w="110" w:type="dxa"/>
            </w:tcMar>
          </w:tcPr>
          <w:p>
            <w:pPr>
              <w:spacing w:after="40" w:before="20"/>
            </w:pPr>
            <w:r>
              <w:rPr>
                <w:rFonts w:ascii="Aptos" w:hAnsi="Aptos"/>
                <w:sz w:val="17"/>
              </w:rPr>
              <w:t>Runtime / deployment</w:t>
            </w:r>
          </w:p>
        </w:tc>
        <w:tc>
          <w:tcPr>
            <w:tcW w:type="dxa" w:w="3139"/>
            <w:vAlign w:val="center"/>
            <w:tcMar>
              <w:top w:w="90" w:type="dxa"/>
              <w:start w:w="110" w:type="dxa"/>
              <w:bottom w:w="90" w:type="dxa"/>
              <w:end w:w="110" w:type="dxa"/>
            </w:tcMar>
          </w:tcPr>
          <w:p>
            <w:pPr>
              <w:spacing w:after="40" w:before="20"/>
            </w:pPr>
            <w:r>
              <w:rPr>
                <w:rFonts w:ascii="Aptos" w:hAnsi="Aptos"/>
                <w:sz w:val="17"/>
              </w:rPr>
              <w:t>Local Python virtual environment; Streamlit local server</w:t>
            </w:r>
          </w:p>
        </w:tc>
        <w:tc>
          <w:tcPr>
            <w:tcW w:type="dxa" w:w="5242"/>
            <w:vAlign w:val="center"/>
            <w:tcMar>
              <w:top w:w="90" w:type="dxa"/>
              <w:start w:w="110" w:type="dxa"/>
              <w:bottom w:w="90" w:type="dxa"/>
              <w:end w:w="110" w:type="dxa"/>
            </w:tcMar>
          </w:tcPr>
          <w:p>
            <w:pPr>
              <w:spacing w:after="40" w:before="20"/>
            </w:pPr>
            <w:r>
              <w:rPr>
                <w:rFonts w:ascii="Aptos" w:hAnsi="Aptos"/>
                <w:sz w:val="17"/>
              </w:rPr>
              <w:t>Runs on a developer or demo laptop. Dependencies are installed from a pinned requirements file.</w:t>
            </w:r>
          </w:p>
        </w:tc>
      </w:tr>
      <w:tr>
        <w:tc>
          <w:tcPr>
            <w:tcW w:type="dxa" w:w="1843"/>
            <w:vAlign w:val="center"/>
            <w:tcMar>
              <w:top w:w="90" w:type="dxa"/>
              <w:start w:w="110" w:type="dxa"/>
              <w:bottom w:w="90" w:type="dxa"/>
              <w:end w:w="110" w:type="dxa"/>
            </w:tcMar>
            <w:shd w:fill="F3F6FA"/>
          </w:tcPr>
          <w:p>
            <w:pPr>
              <w:spacing w:after="40" w:before="20"/>
            </w:pPr>
            <w:r>
              <w:rPr>
                <w:rFonts w:ascii="Aptos" w:hAnsi="Aptos"/>
                <w:sz w:val="17"/>
              </w:rPr>
              <w:t>External model/API</w:t>
            </w:r>
          </w:p>
        </w:tc>
        <w:tc>
          <w:tcPr>
            <w:tcW w:type="dxa" w:w="3139"/>
            <w:vAlign w:val="center"/>
            <w:tcMar>
              <w:top w:w="90" w:type="dxa"/>
              <w:start w:w="110" w:type="dxa"/>
              <w:bottom w:w="90" w:type="dxa"/>
              <w:end w:w="110" w:type="dxa"/>
            </w:tcMar>
            <w:shd w:fill="F3F6FA"/>
          </w:tcPr>
          <w:p>
            <w:pPr>
              <w:spacing w:after="40" w:before="20"/>
            </w:pPr>
            <w:r>
              <w:rPr>
                <w:rFonts w:ascii="Aptos" w:hAnsi="Aptos"/>
                <w:sz w:val="17"/>
              </w:rPr>
              <w:t>None in the baseline</w:t>
            </w:r>
          </w:p>
        </w:tc>
        <w:tc>
          <w:tcPr>
            <w:tcW w:type="dxa" w:w="5242"/>
            <w:vAlign w:val="center"/>
            <w:tcMar>
              <w:top w:w="90" w:type="dxa"/>
              <w:start w:w="110" w:type="dxa"/>
              <w:bottom w:w="90" w:type="dxa"/>
              <w:end w:w="110" w:type="dxa"/>
            </w:tcMar>
            <w:shd w:fill="F3F6FA"/>
          </w:tcPr>
          <w:p>
            <w:pPr>
              <w:spacing w:after="40" w:before="20"/>
            </w:pPr>
            <w:r>
              <w:rPr>
                <w:rFonts w:ascii="Aptos" w:hAnsi="Aptos"/>
                <w:sz w:val="17"/>
              </w:rPr>
              <w:t>Avoids API keys, network dependency, variable model output, and per-call cost in the demo.</w:t>
            </w:r>
          </w:p>
        </w:tc>
      </w:tr>
    </w:tbl>
    <w:p>
      <w:pPr>
        <w:spacing w:after="0"/>
      </w:pPr>
    </w:p>
    <w:p>
      <w:r>
        <w:t>The retrieval index is built when the application starts and retains each section’s filename and heading path. Triage confidence is a rule-based clarity score for routing, not a calibrated probability. If retrieval is weak or required records are missing, the copilot must say so and request review rather than fill gaps with guesses.</w:t>
      </w:r>
    </w:p>
    <w:p>
      <w:pPr>
        <w:pStyle w:val="Heading1"/>
      </w:pPr>
      <w:r>
        <w:t>5. Agent Workflows</w:t>
      </w:r>
    </w:p>
    <w:p>
      <w:r>
        <w:t>Each agent is a module or function in the same application. The orchestrator passes explicit results between them. The agents do not make external changes to store systems.</w:t>
      </w:r>
    </w:p>
    <w:p>
      <w:pPr>
        <w:jc w:val="center"/>
      </w:pPr>
      <w:r>
        <w:drawing>
          <wp:inline xmlns:a="http://schemas.openxmlformats.org/drawingml/2006/main" xmlns:pic="http://schemas.openxmlformats.org/drawingml/2006/picture">
            <wp:extent cx="6309360" cy="3626455"/>
            <wp:docPr id="2" name="Picture 2"/>
            <wp:cNvGraphicFramePr>
              <a:graphicFrameLocks noChangeAspect="1"/>
            </wp:cNvGraphicFramePr>
            <a:graphic>
              <a:graphicData uri="http://schemas.openxmlformats.org/drawingml/2006/picture">
                <pic:pic>
                  <pic:nvPicPr>
                    <pic:cNvPr id="0" name="agent_workflows.png"/>
                    <pic:cNvPicPr/>
                  </pic:nvPicPr>
                  <pic:blipFill>
                    <a:blip r:embed="rId11"/>
                    <a:stretch>
                      <a:fillRect/>
                    </a:stretch>
                  </pic:blipFill>
                  <pic:spPr>
                    <a:xfrm>
                      <a:off x="0" y="0"/>
                      <a:ext cx="6309360" cy="3626455"/>
                    </a:xfrm>
                    <a:prstGeom prst="rect"/>
                  </pic:spPr>
                </pic:pic>
              </a:graphicData>
            </a:graphic>
          </wp:inline>
        </w:drawing>
      </w:r>
    </w:p>
    <w:p>
      <w:pPr>
        <w:jc w:val="center"/>
      </w:pPr>
      <w:r>
        <w:rPr>
          <w:i/>
          <w:sz w:val="16"/>
        </w:rPr>
        <w:t>Figure 2. Individual agent steps and the information passed between them.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tcMar>
              <w:top w:w="90" w:type="dxa"/>
              <w:start w:w="110" w:type="dxa"/>
              <w:bottom w:w="90" w:type="dxa"/>
              <w:end w:w="110" w:type="dxa"/>
            </w:tcMar>
            <w:shd w:fill="17324D"/>
          </w:tcPr>
          <w:p>
            <w:pPr>
              <w:spacing w:after="40" w:before="20"/>
            </w:pPr>
            <w:r>
              <w:rPr>
                <w:rFonts w:ascii="Aptos" w:hAnsi="Aptos"/>
                <w:b/>
                <w:color w:val="FFFFFF"/>
                <w:sz w:val="17"/>
              </w:rPr>
              <w:t>Agent / module</w:t>
            </w:r>
          </w:p>
        </w:tc>
        <w:tc>
          <w:tcPr>
            <w:tcW w:type="dxa" w:w="5256"/>
            <w:vAlign w:val="center"/>
            <w:tcMar>
              <w:top w:w="90" w:type="dxa"/>
              <w:start w:w="110" w:type="dxa"/>
              <w:bottom w:w="90" w:type="dxa"/>
              <w:end w:w="110" w:type="dxa"/>
            </w:tcMar>
            <w:shd w:fill="17324D"/>
          </w:tcPr>
          <w:p>
            <w:pPr>
              <w:spacing w:after="40" w:before="20"/>
            </w:pPr>
            <w:r>
              <w:rPr>
                <w:rFonts w:ascii="Aptos" w:hAnsi="Aptos"/>
                <w:b/>
                <w:color w:val="FFFFFF"/>
                <w:sz w:val="17"/>
              </w:rPr>
              <w:t>Individual workflow</w:t>
            </w:r>
          </w:p>
        </w:tc>
        <w:tc>
          <w:tcPr>
            <w:tcW w:type="dxa" w:w="2880"/>
            <w:vAlign w:val="center"/>
            <w:tcMar>
              <w:top w:w="90" w:type="dxa"/>
              <w:start w:w="110" w:type="dxa"/>
              <w:bottom w:w="90" w:type="dxa"/>
              <w:end w:w="110" w:type="dxa"/>
            </w:tcMar>
            <w:shd w:fill="17324D"/>
          </w:tcPr>
          <w:p>
            <w:pPr>
              <w:spacing w:after="40" w:before="20"/>
            </w:pPr>
            <w:r>
              <w:rPr>
                <w:rFonts w:ascii="Aptos" w:hAnsi="Aptos"/>
                <w:b/>
                <w:color w:val="FFFFFF"/>
                <w:sz w:val="17"/>
              </w:rPr>
              <w:t>Output passed onward</w:t>
            </w:r>
          </w:p>
        </w:tc>
      </w:tr>
      <w:tr>
        <w:tc>
          <w:tcPr>
            <w:tcW w:type="dxa" w:w="2088"/>
            <w:vAlign w:val="center"/>
            <w:tcMar>
              <w:top w:w="90" w:type="dxa"/>
              <w:start w:w="110" w:type="dxa"/>
              <w:bottom w:w="90" w:type="dxa"/>
              <w:end w:w="110" w:type="dxa"/>
            </w:tcMar>
          </w:tcPr>
          <w:p>
            <w:pPr>
              <w:spacing w:after="40" w:before="20"/>
            </w:pPr>
            <w:r>
              <w:rPr>
                <w:rFonts w:ascii="Aptos" w:hAnsi="Aptos"/>
                <w:sz w:val="17"/>
              </w:rPr>
              <w:t>1. Safety agent</w:t>
            </w:r>
          </w:p>
        </w:tc>
        <w:tc>
          <w:tcPr>
            <w:tcW w:type="dxa" w:w="5256"/>
            <w:vAlign w:val="center"/>
            <w:tcMar>
              <w:top w:w="90" w:type="dxa"/>
              <w:start w:w="110" w:type="dxa"/>
              <w:bottom w:w="90" w:type="dxa"/>
              <w:end w:w="110" w:type="dxa"/>
            </w:tcMar>
          </w:tcPr>
          <w:p>
            <w:pPr>
              <w:spacing w:after="40" w:before="20"/>
            </w:pPr>
            <w:r>
              <w:rPr>
                <w:rFonts w:ascii="Aptos" w:hAnsi="Aptos"/>
                <w:sz w:val="17"/>
              </w:rPr>
              <w:t>Receive raw question → identify requests for restricted data, prompt-injection attempts, or sensitive patterns → mask recognizable PII → either stop unsafe processing or pass safe text onward.</w:t>
            </w:r>
          </w:p>
        </w:tc>
        <w:tc>
          <w:tcPr>
            <w:tcW w:type="dxa" w:w="2880"/>
            <w:vAlign w:val="center"/>
            <w:tcMar>
              <w:top w:w="90" w:type="dxa"/>
              <w:start w:w="110" w:type="dxa"/>
              <w:bottom w:w="90" w:type="dxa"/>
              <w:end w:w="110" w:type="dxa"/>
            </w:tcMar>
          </w:tcPr>
          <w:p>
            <w:pPr>
              <w:spacing w:after="40" w:before="20"/>
            </w:pPr>
            <w:r>
              <w:rPr>
                <w:rFonts w:ascii="Aptos" w:hAnsi="Aptos"/>
                <w:sz w:val="17"/>
              </w:rPr>
              <w:t>Safe text; masked flag; refusal flag; security escalation signal.</w:t>
            </w:r>
          </w:p>
        </w:tc>
      </w:tr>
      <w:tr>
        <w:tc>
          <w:tcPr>
            <w:tcW w:type="dxa" w:w="2088"/>
            <w:vAlign w:val="center"/>
            <w:tcMar>
              <w:top w:w="90" w:type="dxa"/>
              <w:start w:w="110" w:type="dxa"/>
              <w:bottom w:w="90" w:type="dxa"/>
              <w:end w:w="110" w:type="dxa"/>
            </w:tcMar>
            <w:shd w:fill="F3F6FA"/>
          </w:tcPr>
          <w:p>
            <w:pPr>
              <w:spacing w:after="40" w:before="20"/>
            </w:pPr>
            <w:r>
              <w:rPr>
                <w:rFonts w:ascii="Aptos" w:hAnsi="Aptos"/>
                <w:sz w:val="17"/>
              </w:rPr>
              <w:t>2. Triage agent</w:t>
            </w:r>
          </w:p>
        </w:tc>
        <w:tc>
          <w:tcPr>
            <w:tcW w:type="dxa" w:w="5256"/>
            <w:vAlign w:val="center"/>
            <w:tcMar>
              <w:top w:w="90" w:type="dxa"/>
              <w:start w:w="110" w:type="dxa"/>
              <w:bottom w:w="90" w:type="dxa"/>
              <w:end w:w="110" w:type="dxa"/>
            </w:tcMar>
            <w:shd w:fill="F3F6FA"/>
          </w:tcPr>
          <w:p>
            <w:pPr>
              <w:spacing w:after="40" w:before="20"/>
            </w:pPr>
            <w:r>
              <w:rPr>
                <w:rFonts w:ascii="Aptos" w:hAnsi="Aptos"/>
                <w:sz w:val="17"/>
              </w:rPr>
              <w:t>Receive safe text → match the exact permitted categories → inspect impact and scope → apply deterministic priority rules → estimate confidence from match strength and ambiguity → mark low-confidence cases for review.</w:t>
            </w:r>
          </w:p>
        </w:tc>
        <w:tc>
          <w:tcPr>
            <w:tcW w:type="dxa" w:w="2880"/>
            <w:vAlign w:val="center"/>
            <w:tcMar>
              <w:top w:w="90" w:type="dxa"/>
              <w:start w:w="110" w:type="dxa"/>
              <w:bottom w:w="90" w:type="dxa"/>
              <w:end w:w="110" w:type="dxa"/>
            </w:tcMar>
            <w:shd w:fill="F3F6FA"/>
          </w:tcPr>
          <w:p>
            <w:pPr>
              <w:spacing w:after="40" w:before="20"/>
            </w:pPr>
            <w:r>
              <w:rPr>
                <w:rFonts w:ascii="Aptos" w:hAnsi="Aptos"/>
                <w:sz w:val="17"/>
              </w:rPr>
              <w:t>Category; P1–P4 priority; confidence; short rationale; review signal.</w:t>
            </w:r>
          </w:p>
        </w:tc>
      </w:tr>
      <w:tr>
        <w:tc>
          <w:tcPr>
            <w:tcW w:type="dxa" w:w="2088"/>
            <w:vAlign w:val="center"/>
            <w:tcMar>
              <w:top w:w="90" w:type="dxa"/>
              <w:start w:w="110" w:type="dxa"/>
              <w:bottom w:w="90" w:type="dxa"/>
              <w:end w:w="110" w:type="dxa"/>
            </w:tcMar>
          </w:tcPr>
          <w:p>
            <w:pPr>
              <w:spacing w:after="40" w:before="20"/>
            </w:pPr>
            <w:r>
              <w:rPr>
                <w:rFonts w:ascii="Aptos" w:hAnsi="Aptos"/>
                <w:sz w:val="17"/>
              </w:rPr>
              <w:t>3. Knowledge / RAG agent</w:t>
            </w:r>
          </w:p>
        </w:tc>
        <w:tc>
          <w:tcPr>
            <w:tcW w:type="dxa" w:w="5256"/>
            <w:vAlign w:val="center"/>
            <w:tcMar>
              <w:top w:w="90" w:type="dxa"/>
              <w:start w:w="110" w:type="dxa"/>
              <w:bottom w:w="90" w:type="dxa"/>
              <w:end w:w="110" w:type="dxa"/>
            </w:tcMar>
          </w:tcPr>
          <w:p>
            <w:pPr>
              <w:spacing w:after="40" w:before="20"/>
            </w:pPr>
            <w:r>
              <w:rPr>
                <w:rFonts w:ascii="Aptos" w:hAnsi="Aptos"/>
                <w:sz w:val="17"/>
              </w:rPr>
              <w:t>Receive question and triage context → search indexed policy sections → select relevant passages → retain original filename and section heading → return only supported citations.</w:t>
            </w:r>
          </w:p>
        </w:tc>
        <w:tc>
          <w:tcPr>
            <w:tcW w:type="dxa" w:w="2880"/>
            <w:vAlign w:val="center"/>
            <w:tcMar>
              <w:top w:w="90" w:type="dxa"/>
              <w:start w:w="110" w:type="dxa"/>
              <w:bottom w:w="90" w:type="dxa"/>
              <w:end w:w="110" w:type="dxa"/>
            </w:tcMar>
          </w:tcPr>
          <w:p>
            <w:pPr>
              <w:spacing w:after="40" w:before="20"/>
            </w:pPr>
            <w:r>
              <w:rPr>
                <w:rFonts w:ascii="Aptos" w:hAnsi="Aptos"/>
                <w:sz w:val="17"/>
              </w:rPr>
              <w:t>Policy passages; citations; retrieval status.</w:t>
            </w:r>
          </w:p>
        </w:tc>
      </w:tr>
      <w:tr>
        <w:tc>
          <w:tcPr>
            <w:tcW w:type="dxa" w:w="2088"/>
            <w:vAlign w:val="center"/>
            <w:tcMar>
              <w:top w:w="90" w:type="dxa"/>
              <w:start w:w="110" w:type="dxa"/>
              <w:bottom w:w="90" w:type="dxa"/>
              <w:end w:w="110" w:type="dxa"/>
            </w:tcMar>
            <w:shd w:fill="F3F6FA"/>
          </w:tcPr>
          <w:p>
            <w:pPr>
              <w:spacing w:after="40" w:before="20"/>
            </w:pPr>
            <w:r>
              <w:rPr>
                <w:rFonts w:ascii="Aptos" w:hAnsi="Aptos"/>
                <w:sz w:val="17"/>
              </w:rPr>
              <w:t>4. Retail data agent</w:t>
            </w:r>
          </w:p>
        </w:tc>
        <w:tc>
          <w:tcPr>
            <w:tcW w:type="dxa" w:w="5256"/>
            <w:vAlign w:val="center"/>
            <w:tcMar>
              <w:top w:w="90" w:type="dxa"/>
              <w:start w:w="110" w:type="dxa"/>
              <w:bottom w:w="90" w:type="dxa"/>
              <w:end w:w="110" w:type="dxa"/>
            </w:tcMar>
            <w:shd w:fill="F3F6FA"/>
          </w:tcPr>
          <w:p>
            <w:pPr>
              <w:spacing w:after="40" w:before="20"/>
            </w:pPr>
            <w:r>
              <w:rPr>
                <w:rFonts w:ascii="Aptos" w:hAnsi="Aptos"/>
                <w:sz w:val="17"/>
              </w:rPr>
              <w:t>Receive recognized intent and entities → choose an allowlisted query → read relevant CSV tables → filter/join/aggregate with pandas → report calculations and source filenames.</w:t>
            </w:r>
          </w:p>
        </w:tc>
        <w:tc>
          <w:tcPr>
            <w:tcW w:type="dxa" w:w="2880"/>
            <w:vAlign w:val="center"/>
            <w:tcMar>
              <w:top w:w="90" w:type="dxa"/>
              <w:start w:w="110" w:type="dxa"/>
              <w:bottom w:w="90" w:type="dxa"/>
              <w:end w:w="110" w:type="dxa"/>
            </w:tcMar>
            <w:shd w:fill="F3F6FA"/>
          </w:tcPr>
          <w:p>
            <w:pPr>
              <w:spacing w:after="40" w:before="20"/>
            </w:pPr>
            <w:r>
              <w:rPr>
                <w:rFonts w:ascii="Aptos" w:hAnsi="Aptos"/>
                <w:sz w:val="17"/>
              </w:rPr>
              <w:t>Computed facts; datasets used; missing-data notes.</w:t>
            </w:r>
          </w:p>
        </w:tc>
      </w:tr>
      <w:tr>
        <w:tc>
          <w:tcPr>
            <w:tcW w:type="dxa" w:w="2088"/>
            <w:vAlign w:val="center"/>
            <w:tcMar>
              <w:top w:w="90" w:type="dxa"/>
              <w:start w:w="110" w:type="dxa"/>
              <w:bottom w:w="90" w:type="dxa"/>
              <w:end w:w="110" w:type="dxa"/>
            </w:tcMar>
          </w:tcPr>
          <w:p>
            <w:pPr>
              <w:spacing w:after="40" w:before="20"/>
            </w:pPr>
            <w:r>
              <w:rPr>
                <w:rFonts w:ascii="Aptos" w:hAnsi="Aptos"/>
                <w:sz w:val="17"/>
              </w:rPr>
              <w:t>5. Workflow / escalation agent</w:t>
            </w:r>
          </w:p>
        </w:tc>
        <w:tc>
          <w:tcPr>
            <w:tcW w:type="dxa" w:w="5256"/>
            <w:vAlign w:val="center"/>
            <w:tcMar>
              <w:top w:w="90" w:type="dxa"/>
              <w:start w:w="110" w:type="dxa"/>
              <w:bottom w:w="90" w:type="dxa"/>
              <w:end w:w="110" w:type="dxa"/>
            </w:tcMar>
          </w:tcPr>
          <w:p>
            <w:pPr>
              <w:spacing w:after="40" w:before="20"/>
            </w:pPr>
            <w:r>
              <w:rPr>
                <w:rFonts w:ascii="Aptos" w:hAnsi="Aptos"/>
                <w:sz w:val="17"/>
              </w:rPr>
              <w:t>Receive triage, safety flags, and evidence → apply hard safety and approval rules → consult the escalation matrix → determine team, channel, and SLA where available → prepare a simulated ticket if needed.</w:t>
            </w:r>
          </w:p>
        </w:tc>
        <w:tc>
          <w:tcPr>
            <w:tcW w:type="dxa" w:w="2880"/>
            <w:vAlign w:val="center"/>
            <w:tcMar>
              <w:top w:w="90" w:type="dxa"/>
              <w:start w:w="110" w:type="dxa"/>
              <w:bottom w:w="90" w:type="dxa"/>
              <w:end w:w="110" w:type="dxa"/>
            </w:tcMar>
          </w:tcPr>
          <w:p>
            <w:pPr>
              <w:spacing w:after="40" w:before="20"/>
            </w:pPr>
            <w:r>
              <w:rPr>
                <w:rFonts w:ascii="Aptos" w:hAnsi="Aptos"/>
                <w:sz w:val="17"/>
              </w:rPr>
              <w:t>Escalation status; destination/team; reason; simulated ticket details.</w:t>
            </w:r>
          </w:p>
        </w:tc>
      </w:tr>
      <w:tr>
        <w:tc>
          <w:tcPr>
            <w:tcW w:type="dxa" w:w="2088"/>
            <w:vAlign w:val="center"/>
            <w:tcMar>
              <w:top w:w="90" w:type="dxa"/>
              <w:start w:w="110" w:type="dxa"/>
              <w:bottom w:w="90" w:type="dxa"/>
              <w:end w:w="110" w:type="dxa"/>
            </w:tcMar>
            <w:shd w:fill="F3F6FA"/>
          </w:tcPr>
          <w:p>
            <w:pPr>
              <w:spacing w:after="40" w:before="20"/>
            </w:pPr>
            <w:r>
              <w:rPr>
                <w:rFonts w:ascii="Aptos" w:hAnsi="Aptos"/>
                <w:sz w:val="17"/>
              </w:rPr>
              <w:t>6. Response composer</w:t>
            </w:r>
          </w:p>
        </w:tc>
        <w:tc>
          <w:tcPr>
            <w:tcW w:type="dxa" w:w="5256"/>
            <w:vAlign w:val="center"/>
            <w:tcMar>
              <w:top w:w="90" w:type="dxa"/>
              <w:start w:w="110" w:type="dxa"/>
              <w:bottom w:w="90" w:type="dxa"/>
              <w:end w:w="110" w:type="dxa"/>
            </w:tcMar>
            <w:shd w:fill="F3F6FA"/>
          </w:tcPr>
          <w:p>
            <w:pPr>
              <w:spacing w:after="40" w:before="20"/>
            </w:pPr>
            <w:r>
              <w:rPr>
                <w:rFonts w:ascii="Aptos" w:hAnsi="Aptos"/>
                <w:sz w:val="17"/>
              </w:rPr>
              <w:t>Receive triage, policy passages, calculated facts, and workflow decision → summarize what is known → give practical next steps → distinguish confirmed facts from likely causes.</w:t>
            </w:r>
          </w:p>
        </w:tc>
        <w:tc>
          <w:tcPr>
            <w:tcW w:type="dxa" w:w="2880"/>
            <w:vAlign w:val="center"/>
            <w:tcMar>
              <w:top w:w="90" w:type="dxa"/>
              <w:start w:w="110" w:type="dxa"/>
              <w:bottom w:w="90" w:type="dxa"/>
              <w:end w:w="110" w:type="dxa"/>
            </w:tcMar>
            <w:shd w:fill="F3F6FA"/>
          </w:tcPr>
          <w:p>
            <w:pPr>
              <w:spacing w:after="40" w:before="20"/>
            </w:pPr>
            <w:r>
              <w:rPr>
                <w:rFonts w:ascii="Aptos" w:hAnsi="Aptos"/>
                <w:sz w:val="17"/>
              </w:rPr>
              <w:t>Candidate employee-facing response and response fields.</w:t>
            </w:r>
          </w:p>
        </w:tc>
      </w:tr>
      <w:tr>
        <w:tc>
          <w:tcPr>
            <w:tcW w:type="dxa" w:w="2088"/>
            <w:vAlign w:val="center"/>
            <w:tcMar>
              <w:top w:w="90" w:type="dxa"/>
              <w:start w:w="110" w:type="dxa"/>
              <w:bottom w:w="90" w:type="dxa"/>
              <w:end w:w="110" w:type="dxa"/>
            </w:tcMar>
          </w:tcPr>
          <w:p>
            <w:pPr>
              <w:spacing w:after="40" w:before="20"/>
            </w:pPr>
            <w:r>
              <w:rPr>
                <w:rFonts w:ascii="Aptos" w:hAnsi="Aptos"/>
                <w:sz w:val="17"/>
              </w:rPr>
              <w:t>7. Output validator</w:t>
            </w:r>
          </w:p>
        </w:tc>
        <w:tc>
          <w:tcPr>
            <w:tcW w:type="dxa" w:w="5256"/>
            <w:vAlign w:val="center"/>
            <w:tcMar>
              <w:top w:w="90" w:type="dxa"/>
              <w:start w:w="110" w:type="dxa"/>
              <w:bottom w:w="90" w:type="dxa"/>
              <w:end w:w="110" w:type="dxa"/>
            </w:tcMar>
          </w:tcPr>
          <w:p>
            <w:pPr>
              <w:spacing w:after="40" w:before="20"/>
            </w:pPr>
            <w:r>
              <w:rPr>
                <w:rFonts w:ascii="Aptos" w:hAnsi="Aptos"/>
                <w:sz w:val="17"/>
              </w:rPr>
              <w:t>Receive candidate response → verify allowed category/priority and required fields → check citations against indexed policy sections → check safety and escalation flags → return response or safe fallback.</w:t>
            </w:r>
          </w:p>
        </w:tc>
        <w:tc>
          <w:tcPr>
            <w:tcW w:type="dxa" w:w="2880"/>
            <w:vAlign w:val="center"/>
            <w:tcMar>
              <w:top w:w="90" w:type="dxa"/>
              <w:start w:w="110" w:type="dxa"/>
              <w:bottom w:w="90" w:type="dxa"/>
              <w:end w:w="110" w:type="dxa"/>
            </w:tcMar>
          </w:tcPr>
          <w:p>
            <w:pPr>
              <w:spacing w:after="40" w:before="20"/>
            </w:pPr>
            <w:r>
              <w:rPr>
                <w:rFonts w:ascii="Aptos" w:hAnsi="Aptos"/>
                <w:sz w:val="17"/>
              </w:rPr>
              <w:t>Validated response or safe fallback with validation notes.</w:t>
            </w:r>
          </w:p>
        </w:tc>
      </w:tr>
      <w:tr>
        <w:tc>
          <w:tcPr>
            <w:tcW w:type="dxa" w:w="2088"/>
            <w:vAlign w:val="center"/>
            <w:tcMar>
              <w:top w:w="90" w:type="dxa"/>
              <w:start w:w="110" w:type="dxa"/>
              <w:bottom w:w="90" w:type="dxa"/>
              <w:end w:w="110" w:type="dxa"/>
            </w:tcMar>
            <w:shd w:fill="F3F6FA"/>
          </w:tcPr>
          <w:p>
            <w:pPr>
              <w:spacing w:after="40" w:before="20"/>
            </w:pPr>
            <w:r>
              <w:rPr>
                <w:rFonts w:ascii="Aptos" w:hAnsi="Aptos"/>
                <w:sz w:val="17"/>
              </w:rPr>
              <w:t>8. Evaluation runner</w:t>
            </w:r>
          </w:p>
        </w:tc>
        <w:tc>
          <w:tcPr>
            <w:tcW w:type="dxa" w:w="5256"/>
            <w:vAlign w:val="center"/>
            <w:tcMar>
              <w:top w:w="90" w:type="dxa"/>
              <w:start w:w="110" w:type="dxa"/>
              <w:bottom w:w="90" w:type="dxa"/>
              <w:end w:w="110" w:type="dxa"/>
            </w:tcMar>
            <w:shd w:fill="F3F6FA"/>
          </w:tcPr>
          <w:p>
            <w:pPr>
              <w:spacing w:after="40" w:before="20"/>
            </w:pPr>
            <w:r>
              <w:rPr>
                <w:rFonts w:ascii="Aptos" w:hAnsi="Aptos"/>
                <w:sz w:val="17"/>
              </w:rPr>
              <w:t>Read public cases → call the same orchestrator as the UI → compare outputs to expected labels and safety checks → write rows using the supplied prediction schema → calculate and report metrics.</w:t>
            </w:r>
          </w:p>
        </w:tc>
        <w:tc>
          <w:tcPr>
            <w:tcW w:type="dxa" w:w="2880"/>
            <w:vAlign w:val="center"/>
            <w:tcMar>
              <w:top w:w="90" w:type="dxa"/>
              <w:start w:w="110" w:type="dxa"/>
              <w:bottom w:w="90" w:type="dxa"/>
              <w:end w:w="110" w:type="dxa"/>
            </w:tcMar>
            <w:shd w:fill="F3F6FA"/>
          </w:tcPr>
          <w:p>
            <w:pPr>
              <w:spacing w:after="40" w:before="20"/>
            </w:pPr>
            <w:r>
              <w:rPr>
                <w:rFonts w:ascii="Aptos" w:hAnsi="Aptos"/>
                <w:sz w:val="17"/>
              </w:rPr>
              <w:t>predictions.csv and measured evaluation metrics.</w:t>
            </w:r>
          </w:p>
        </w:tc>
      </w:tr>
    </w:tbl>
    <w:p>
      <w:pPr>
        <w:spacing w:after="0"/>
      </w:pPr>
    </w:p>
    <w:p>
      <w:pPr>
        <w:pStyle w:val="Heading2"/>
      </w:pPr>
      <w:r>
        <w:t>5.1 Triage priority rules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vAlign w:val="center"/>
            <w:tcMar>
              <w:top w:w="90" w:type="dxa"/>
              <w:start w:w="110" w:type="dxa"/>
              <w:bottom w:w="90" w:type="dxa"/>
              <w:end w:w="110" w:type="dxa"/>
            </w:tcMar>
            <w:shd w:fill="17324D"/>
          </w:tcPr>
          <w:p>
            <w:pPr>
              <w:spacing w:after="40" w:before="20"/>
            </w:pPr>
            <w:r>
              <w:rPr>
                <w:rFonts w:ascii="Aptos" w:hAnsi="Aptos"/>
                <w:b/>
                <w:color w:val="FFFFFF"/>
                <w:sz w:val="17"/>
              </w:rPr>
              <w:t>Priority</w:t>
            </w:r>
          </w:p>
        </w:tc>
        <w:tc>
          <w:tcPr>
            <w:tcW w:type="dxa" w:w="4464"/>
            <w:vAlign w:val="center"/>
            <w:tcMar>
              <w:top w:w="90" w:type="dxa"/>
              <w:start w:w="110" w:type="dxa"/>
              <w:bottom w:w="90" w:type="dxa"/>
              <w:end w:w="110" w:type="dxa"/>
            </w:tcMar>
            <w:shd w:fill="17324D"/>
          </w:tcPr>
          <w:p>
            <w:pPr>
              <w:spacing w:after="40" w:before="20"/>
            </w:pPr>
            <w:r>
              <w:rPr>
                <w:rFonts w:ascii="Aptos" w:hAnsi="Aptos"/>
                <w:b/>
                <w:color w:val="FFFFFF"/>
                <w:sz w:val="17"/>
              </w:rPr>
              <w:t>Typical interpretation</w:t>
            </w:r>
          </w:p>
        </w:tc>
        <w:tc>
          <w:tcPr>
            <w:tcW w:type="dxa" w:w="4680"/>
            <w:vAlign w:val="center"/>
            <w:tcMar>
              <w:top w:w="90" w:type="dxa"/>
              <w:start w:w="110" w:type="dxa"/>
              <w:bottom w:w="90" w:type="dxa"/>
              <w:end w:w="110" w:type="dxa"/>
            </w:tcMar>
            <w:shd w:fill="17324D"/>
          </w:tcPr>
          <w:p>
            <w:pPr>
              <w:spacing w:after="40" w:before="20"/>
            </w:pPr>
            <w:r>
              <w:rPr>
                <w:rFonts w:ascii="Aptos" w:hAnsi="Aptos"/>
                <w:b/>
                <w:color w:val="FFFFFF"/>
                <w:sz w:val="17"/>
              </w:rPr>
              <w:t>Example handling</w:t>
            </w:r>
          </w:p>
        </w:tc>
      </w:tr>
      <w:tr>
        <w:tc>
          <w:tcPr>
            <w:tcW w:type="dxa" w:w="1080"/>
            <w:vAlign w:val="center"/>
            <w:tcMar>
              <w:top w:w="90" w:type="dxa"/>
              <w:start w:w="110" w:type="dxa"/>
              <w:bottom w:w="90" w:type="dxa"/>
              <w:end w:w="110" w:type="dxa"/>
            </w:tcMar>
          </w:tcPr>
          <w:p>
            <w:pPr>
              <w:spacing w:after="40" w:before="20"/>
            </w:pPr>
            <w:r>
              <w:rPr>
                <w:rFonts w:ascii="Aptos" w:hAnsi="Aptos"/>
                <w:sz w:val="17"/>
              </w:rPr>
              <w:t>P1</w:t>
            </w:r>
          </w:p>
        </w:tc>
        <w:tc>
          <w:tcPr>
            <w:tcW w:type="dxa" w:w="4464"/>
            <w:vAlign w:val="center"/>
            <w:tcMar>
              <w:top w:w="90" w:type="dxa"/>
              <w:start w:w="110" w:type="dxa"/>
              <w:bottom w:w="90" w:type="dxa"/>
              <w:end w:w="110" w:type="dxa"/>
            </w:tcMar>
          </w:tcPr>
          <w:p>
            <w:pPr>
              <w:spacing w:after="40" w:before="20"/>
            </w:pPr>
            <w:r>
              <w:rPr>
                <w:rFonts w:ascii="Aptos" w:hAnsi="Aptos"/>
                <w:sz w:val="17"/>
              </w:rPr>
              <w:t>Immediate high-risk or broad-impact incident: safety hazard, security/payment exposure, or store-wide service failure.</w:t>
            </w:r>
          </w:p>
        </w:tc>
        <w:tc>
          <w:tcPr>
            <w:tcW w:type="dxa" w:w="4680"/>
            <w:vAlign w:val="center"/>
            <w:tcMar>
              <w:top w:w="90" w:type="dxa"/>
              <w:start w:w="110" w:type="dxa"/>
              <w:bottom w:w="90" w:type="dxa"/>
              <w:end w:w="110" w:type="dxa"/>
            </w:tcMar>
          </w:tcPr>
          <w:p>
            <w:pPr>
              <w:spacing w:after="40" w:before="20"/>
            </w:pPr>
            <w:r>
              <w:rPr>
                <w:rFonts w:ascii="Aptos" w:hAnsi="Aptos"/>
                <w:sz w:val="17"/>
              </w:rPr>
              <w:t>Apply hard override and immediate human/security routing.</w:t>
            </w:r>
          </w:p>
        </w:tc>
      </w:tr>
      <w:tr>
        <w:tc>
          <w:tcPr>
            <w:tcW w:type="dxa" w:w="1080"/>
            <w:vAlign w:val="center"/>
            <w:tcMar>
              <w:top w:w="90" w:type="dxa"/>
              <w:start w:w="110" w:type="dxa"/>
              <w:bottom w:w="90" w:type="dxa"/>
              <w:end w:w="110" w:type="dxa"/>
            </w:tcMar>
            <w:shd w:fill="F3F6FA"/>
          </w:tcPr>
          <w:p>
            <w:pPr>
              <w:spacing w:after="40" w:before="20"/>
            </w:pPr>
            <w:r>
              <w:rPr>
                <w:rFonts w:ascii="Aptos" w:hAnsi="Aptos"/>
                <w:sz w:val="17"/>
              </w:rPr>
              <w:t>P2</w:t>
            </w:r>
          </w:p>
        </w:tc>
        <w:tc>
          <w:tcPr>
            <w:tcW w:type="dxa" w:w="4464"/>
            <w:vAlign w:val="center"/>
            <w:tcMar>
              <w:top w:w="90" w:type="dxa"/>
              <w:start w:w="110" w:type="dxa"/>
              <w:bottom w:w="90" w:type="dxa"/>
              <w:end w:w="110" w:type="dxa"/>
            </w:tcMar>
            <w:shd w:fill="F3F6FA"/>
          </w:tcPr>
          <w:p>
            <w:pPr>
              <w:spacing w:after="40" w:before="20"/>
            </w:pPr>
            <w:r>
              <w:rPr>
                <w:rFonts w:ascii="Aptos" w:hAnsi="Aptos"/>
                <w:sz w:val="17"/>
              </w:rPr>
              <w:t>High-impact, repeated, or multi-customer issue without immediate danger.</w:t>
            </w:r>
          </w:p>
        </w:tc>
        <w:tc>
          <w:tcPr>
            <w:tcW w:type="dxa" w:w="4680"/>
            <w:vAlign w:val="center"/>
            <w:tcMar>
              <w:top w:w="90" w:type="dxa"/>
              <w:start w:w="110" w:type="dxa"/>
              <w:bottom w:w="90" w:type="dxa"/>
              <w:end w:w="110" w:type="dxa"/>
            </w:tcMar>
            <w:shd w:fill="F3F6FA"/>
          </w:tcPr>
          <w:p>
            <w:pPr>
              <w:spacing w:after="40" w:before="20"/>
            </w:pPr>
            <w:r>
              <w:rPr>
                <w:rFonts w:ascii="Aptos" w:hAnsi="Aptos"/>
                <w:sz w:val="17"/>
              </w:rPr>
              <w:t>Prioritize responsible manager or operations team review.</w:t>
            </w:r>
          </w:p>
        </w:tc>
      </w:tr>
      <w:tr>
        <w:tc>
          <w:tcPr>
            <w:tcW w:type="dxa" w:w="1080"/>
            <w:vAlign w:val="center"/>
            <w:tcMar>
              <w:top w:w="90" w:type="dxa"/>
              <w:start w:w="110" w:type="dxa"/>
              <w:bottom w:w="90" w:type="dxa"/>
              <w:end w:w="110" w:type="dxa"/>
            </w:tcMar>
          </w:tcPr>
          <w:p>
            <w:pPr>
              <w:spacing w:after="40" w:before="20"/>
            </w:pPr>
            <w:r>
              <w:rPr>
                <w:rFonts w:ascii="Aptos" w:hAnsi="Aptos"/>
                <w:sz w:val="17"/>
              </w:rPr>
              <w:t>P3</w:t>
            </w:r>
          </w:p>
        </w:tc>
        <w:tc>
          <w:tcPr>
            <w:tcW w:type="dxa" w:w="4464"/>
            <w:vAlign w:val="center"/>
            <w:tcMar>
              <w:top w:w="90" w:type="dxa"/>
              <w:start w:w="110" w:type="dxa"/>
              <w:bottom w:w="90" w:type="dxa"/>
              <w:end w:w="110" w:type="dxa"/>
            </w:tcMar>
          </w:tcPr>
          <w:p>
            <w:pPr>
              <w:spacing w:after="40" w:before="20"/>
            </w:pPr>
            <w:r>
              <w:rPr>
                <w:rFonts w:ascii="Aptos" w:hAnsi="Aptos"/>
                <w:sz w:val="17"/>
              </w:rPr>
              <w:t>Localized routine store issue.</w:t>
            </w:r>
          </w:p>
        </w:tc>
        <w:tc>
          <w:tcPr>
            <w:tcW w:type="dxa" w:w="4680"/>
            <w:vAlign w:val="center"/>
            <w:tcMar>
              <w:top w:w="90" w:type="dxa"/>
              <w:start w:w="110" w:type="dxa"/>
              <w:bottom w:w="90" w:type="dxa"/>
              <w:end w:w="110" w:type="dxa"/>
            </w:tcMar>
          </w:tcPr>
          <w:p>
            <w:pPr>
              <w:spacing w:after="40" w:before="20"/>
            </w:pPr>
            <w:r>
              <w:rPr>
                <w:rFonts w:ascii="Aptos" w:hAnsi="Aptos"/>
                <w:sz w:val="17"/>
              </w:rPr>
              <w:t>Provide standard troubleshooting and policy-backed steps.</w:t>
            </w:r>
          </w:p>
        </w:tc>
      </w:tr>
      <w:tr>
        <w:tc>
          <w:tcPr>
            <w:tcW w:type="dxa" w:w="1080"/>
            <w:vAlign w:val="center"/>
            <w:tcMar>
              <w:top w:w="90" w:type="dxa"/>
              <w:start w:w="110" w:type="dxa"/>
              <w:bottom w:w="90" w:type="dxa"/>
              <w:end w:w="110" w:type="dxa"/>
            </w:tcMar>
            <w:shd w:fill="F3F6FA"/>
          </w:tcPr>
          <w:p>
            <w:pPr>
              <w:spacing w:after="40" w:before="20"/>
            </w:pPr>
            <w:r>
              <w:rPr>
                <w:rFonts w:ascii="Aptos" w:hAnsi="Aptos"/>
                <w:sz w:val="17"/>
              </w:rPr>
              <w:t>P4</w:t>
            </w:r>
          </w:p>
        </w:tc>
        <w:tc>
          <w:tcPr>
            <w:tcW w:type="dxa" w:w="4464"/>
            <w:vAlign w:val="center"/>
            <w:tcMar>
              <w:top w:w="90" w:type="dxa"/>
              <w:start w:w="110" w:type="dxa"/>
              <w:bottom w:w="90" w:type="dxa"/>
              <w:end w:w="110" w:type="dxa"/>
            </w:tcMar>
            <w:shd w:fill="F3F6FA"/>
          </w:tcPr>
          <w:p>
            <w:pPr>
              <w:spacing w:after="40" w:before="20"/>
            </w:pPr>
            <w:r>
              <w:rPr>
                <w:rFonts w:ascii="Aptos" w:hAnsi="Aptos"/>
                <w:sz w:val="17"/>
              </w:rPr>
              <w:t>General question or non-urgent guidance.</w:t>
            </w:r>
          </w:p>
        </w:tc>
        <w:tc>
          <w:tcPr>
            <w:tcW w:type="dxa" w:w="4680"/>
            <w:vAlign w:val="center"/>
            <w:tcMar>
              <w:top w:w="90" w:type="dxa"/>
              <w:start w:w="110" w:type="dxa"/>
              <w:bottom w:w="90" w:type="dxa"/>
              <w:end w:w="110" w:type="dxa"/>
            </w:tcMar>
            <w:shd w:fill="F3F6FA"/>
          </w:tcPr>
          <w:p>
            <w:pPr>
              <w:spacing w:after="40" w:before="20"/>
            </w:pPr>
            <w:r>
              <w:rPr>
                <w:rFonts w:ascii="Aptos" w:hAnsi="Aptos"/>
                <w:sz w:val="17"/>
              </w:rPr>
              <w:t>Answer with policy evidence when available.</w:t>
            </w:r>
          </w:p>
        </w:tc>
      </w:tr>
    </w:tbl>
    <w:p>
      <w:pPr>
        <w:spacing w:after="0"/>
      </w:pPr>
    </w:p>
    <w:p>
      <w:r>
        <w:t>Exact category labels and priority definitions come from the hackathon participant guide. Safety and policy rules override the rule-based classification. A low-confidence threshold such as 0.60 may trigger human review; it is a configurable heuristic until validated on labeled cases.</w:t>
      </w:r>
    </w:p>
    <w:p>
      <w:pPr>
        <w:pStyle w:val="Heading1"/>
      </w:pPr>
      <w:r>
        <w:t>6. Evidence and Data Design</w:t>
      </w:r>
    </w:p>
    <w:p>
      <w:pPr>
        <w:pStyle w:val="Heading2"/>
      </w:pPr>
      <w:r>
        <w:t>6.1 Policy evidence</w:t>
      </w:r>
    </w:p>
    <w:p>
      <w:pPr>
        <w:pStyle w:val="ListNumber"/>
        <w:spacing w:after="60"/>
      </w:pPr>
      <w:r>
        <w:t>Read supplied Markdown policies and split them by heading section.</w:t>
      </w:r>
    </w:p>
    <w:p>
      <w:pPr>
        <w:pStyle w:val="ListNumber"/>
        <w:spacing w:after="60"/>
      </w:pPr>
      <w:r>
        <w:t>Index section text with TF-IDF and retain filename and heading metadata.</w:t>
      </w:r>
    </w:p>
    <w:p>
      <w:pPr>
        <w:pStyle w:val="ListNumber"/>
        <w:spacing w:after="60"/>
      </w:pPr>
      <w:r>
        <w:t>Retrieve a small number of relevant sections for a request.</w:t>
      </w:r>
    </w:p>
    <w:p>
      <w:pPr>
        <w:pStyle w:val="ListNumber"/>
        <w:spacing w:after="60"/>
      </w:pPr>
      <w:r>
        <w:t>Attach citations from retrieved metadata, never from guessed filenames or generated headings.</w:t>
      </w:r>
    </w:p>
    <w:p>
      <w:pPr>
        <w:pStyle w:val="ListNumber"/>
        <w:spacing w:after="60"/>
      </w:pPr>
      <w:r>
        <w:t>If no relevant section is found, state that limitation and route or ask for clarification.</w:t>
      </w:r>
    </w:p>
    <w:p>
      <w:pPr>
        <w:pStyle w:val="Heading2"/>
      </w:pPr>
      <w:r>
        <w:t>6.2 Business data evidence</w:t>
      </w:r>
    </w:p>
    <w:p>
      <w:r>
        <w:t>The retail data agent reads the supplied CSVs without modifying them. It validates file names and columns at startup and exposes fixed query functions rather than model-generated SQL or Python. Example analyses include comparing on-hand quantity with reorder point, comparing purchase-order and received quantities, reviewing vendor rates, grouping quality complaints, and filtering recent support cases. Answers name the files used and describe calculated results.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vAlign w:val="center"/>
            <w:tcMar>
              <w:top w:w="90" w:type="dxa"/>
              <w:start w:w="110" w:type="dxa"/>
              <w:bottom w:w="90" w:type="dxa"/>
              <w:end w:w="110" w:type="dxa"/>
            </w:tcMar>
            <w:shd w:fill="17324D"/>
          </w:tcPr>
          <w:p>
            <w:pPr>
              <w:spacing w:after="40" w:before="20"/>
            </w:pPr>
            <w:r>
              <w:rPr>
                <w:rFonts w:ascii="Aptos" w:hAnsi="Aptos"/>
                <w:b/>
                <w:color w:val="FFFFFF"/>
                <w:sz w:val="17"/>
              </w:rPr>
              <w:t>Request example</w:t>
            </w:r>
          </w:p>
        </w:tc>
        <w:tc>
          <w:tcPr>
            <w:tcW w:type="dxa" w:w="2952"/>
            <w:vAlign w:val="center"/>
            <w:tcMar>
              <w:top w:w="90" w:type="dxa"/>
              <w:start w:w="110" w:type="dxa"/>
              <w:bottom w:w="90" w:type="dxa"/>
              <w:end w:w="110" w:type="dxa"/>
            </w:tcMar>
            <w:shd w:fill="17324D"/>
          </w:tcPr>
          <w:p>
            <w:pPr>
              <w:spacing w:after="40" w:before="20"/>
            </w:pPr>
            <w:r>
              <w:rPr>
                <w:rFonts w:ascii="Aptos" w:hAnsi="Aptos"/>
                <w:b/>
                <w:color w:val="FFFFFF"/>
                <w:sz w:val="17"/>
              </w:rPr>
              <w:t>Likely data sources</w:t>
            </w:r>
          </w:p>
        </w:tc>
        <w:tc>
          <w:tcPr>
            <w:tcW w:type="dxa" w:w="4320"/>
            <w:vAlign w:val="center"/>
            <w:tcMar>
              <w:top w:w="90" w:type="dxa"/>
              <w:start w:w="110" w:type="dxa"/>
              <w:bottom w:w="90" w:type="dxa"/>
              <w:end w:w="110" w:type="dxa"/>
            </w:tcMar>
            <w:shd w:fill="17324D"/>
          </w:tcPr>
          <w:p>
            <w:pPr>
              <w:spacing w:after="40" w:before="20"/>
            </w:pPr>
            <w:r>
              <w:rPr>
                <w:rFonts w:ascii="Aptos" w:hAnsi="Aptos"/>
                <w:b/>
                <w:color w:val="FFFFFF"/>
                <w:sz w:val="17"/>
              </w:rPr>
              <w:t>Analysis</w:t>
            </w:r>
          </w:p>
        </w:tc>
      </w:tr>
      <w:tr>
        <w:tc>
          <w:tcPr>
            <w:tcW w:type="dxa" w:w="2952"/>
            <w:vAlign w:val="center"/>
            <w:tcMar>
              <w:top w:w="90" w:type="dxa"/>
              <w:start w:w="110" w:type="dxa"/>
              <w:bottom w:w="90" w:type="dxa"/>
              <w:end w:w="110" w:type="dxa"/>
            </w:tcMar>
          </w:tcPr>
          <w:p>
            <w:pPr>
              <w:spacing w:after="40" w:before="20"/>
            </w:pPr>
            <w:r>
              <w:rPr>
                <w:rFonts w:ascii="Aptos" w:hAnsi="Aptos"/>
                <w:sz w:val="17"/>
              </w:rPr>
              <w:t>Why is a product repeatedly out of stock at a store?</w:t>
            </w:r>
          </w:p>
        </w:tc>
        <w:tc>
          <w:tcPr>
            <w:tcW w:type="dxa" w:w="2952"/>
            <w:vAlign w:val="center"/>
            <w:tcMar>
              <w:top w:w="90" w:type="dxa"/>
              <w:start w:w="110" w:type="dxa"/>
              <w:bottom w:w="90" w:type="dxa"/>
              <w:end w:w="110" w:type="dxa"/>
            </w:tcMar>
          </w:tcPr>
          <w:p>
            <w:pPr>
              <w:spacing w:after="40" w:before="20"/>
            </w:pPr>
            <w:r>
              <w:rPr>
                <w:rFonts w:ascii="Aptos" w:hAnsi="Aptos"/>
                <w:sz w:val="17"/>
              </w:rPr>
              <w:t>product, inventory, receipts, vendor tables</w:t>
            </w:r>
          </w:p>
        </w:tc>
        <w:tc>
          <w:tcPr>
            <w:tcW w:type="dxa" w:w="4320"/>
            <w:vAlign w:val="center"/>
            <w:tcMar>
              <w:top w:w="90" w:type="dxa"/>
              <w:start w:w="110" w:type="dxa"/>
              <w:bottom w:w="90" w:type="dxa"/>
              <w:end w:w="110" w:type="dxa"/>
            </w:tcMar>
          </w:tcPr>
          <w:p>
            <w:pPr>
              <w:spacing w:after="40" w:before="20"/>
            </w:pPr>
            <w:r>
              <w:rPr>
                <w:rFonts w:ascii="Aptos" w:hAnsi="Aptos"/>
                <w:sz w:val="17"/>
              </w:rPr>
              <w:t>Resolve SKU; compare stock and reorder point; check ordered versus received units; review vendor measures.</w:t>
            </w:r>
          </w:p>
        </w:tc>
      </w:tr>
      <w:tr>
        <w:tc>
          <w:tcPr>
            <w:tcW w:type="dxa" w:w="2952"/>
            <w:vAlign w:val="center"/>
            <w:tcMar>
              <w:top w:w="90" w:type="dxa"/>
              <w:start w:w="110" w:type="dxa"/>
              <w:bottom w:w="90" w:type="dxa"/>
              <w:end w:w="110" w:type="dxa"/>
            </w:tcMar>
            <w:shd w:fill="F3F6FA"/>
          </w:tcPr>
          <w:p>
            <w:pPr>
              <w:spacing w:after="40" w:before="20"/>
            </w:pPr>
            <w:r>
              <w:rPr>
                <w:rFonts w:ascii="Aptos" w:hAnsi="Aptos"/>
                <w:sz w:val="17"/>
              </w:rPr>
              <w:t>Which open high-priority cases arrived in the last day?</w:t>
            </w:r>
          </w:p>
        </w:tc>
        <w:tc>
          <w:tcPr>
            <w:tcW w:type="dxa" w:w="2952"/>
            <w:vAlign w:val="center"/>
            <w:tcMar>
              <w:top w:w="90" w:type="dxa"/>
              <w:start w:w="110" w:type="dxa"/>
              <w:bottom w:w="90" w:type="dxa"/>
              <w:end w:w="110" w:type="dxa"/>
            </w:tcMar>
            <w:shd w:fill="F3F6FA"/>
          </w:tcPr>
          <w:p>
            <w:pPr>
              <w:spacing w:after="40" w:before="20"/>
            </w:pPr>
            <w:r>
              <w:rPr>
                <w:rFonts w:ascii="Aptos" w:hAnsi="Aptos"/>
                <w:sz w:val="17"/>
              </w:rPr>
              <w:t>support cases; optionally store table</w:t>
            </w:r>
          </w:p>
        </w:tc>
        <w:tc>
          <w:tcPr>
            <w:tcW w:type="dxa" w:w="4320"/>
            <w:vAlign w:val="center"/>
            <w:tcMar>
              <w:top w:w="90" w:type="dxa"/>
              <w:start w:w="110" w:type="dxa"/>
              <w:bottom w:w="90" w:type="dxa"/>
              <w:end w:w="110" w:type="dxa"/>
            </w:tcMar>
            <w:shd w:fill="F3F6FA"/>
          </w:tcPr>
          <w:p>
            <w:pPr>
              <w:spacing w:after="40" w:before="20"/>
            </w:pPr>
            <w:r>
              <w:rPr>
                <w:rFonts w:ascii="Aptos" w:hAnsi="Aptos"/>
                <w:sz w:val="17"/>
              </w:rPr>
              <w:t>Filter by status, priority, and the defined time window; group by store or category.</w:t>
            </w:r>
          </w:p>
        </w:tc>
      </w:tr>
      <w:tr>
        <w:tc>
          <w:tcPr>
            <w:tcW w:type="dxa" w:w="2952"/>
            <w:vAlign w:val="center"/>
            <w:tcMar>
              <w:top w:w="90" w:type="dxa"/>
              <w:start w:w="110" w:type="dxa"/>
              <w:bottom w:w="90" w:type="dxa"/>
              <w:end w:w="110" w:type="dxa"/>
            </w:tcMar>
          </w:tcPr>
          <w:p>
            <w:pPr>
              <w:spacing w:after="40" w:before="20"/>
            </w:pPr>
            <w:r>
              <w:rPr>
                <w:rFonts w:ascii="Aptos" w:hAnsi="Aptos"/>
                <w:sz w:val="17"/>
              </w:rPr>
              <w:t>Are product quality complaints increasing?</w:t>
            </w:r>
          </w:p>
        </w:tc>
        <w:tc>
          <w:tcPr>
            <w:tcW w:type="dxa" w:w="2952"/>
            <w:vAlign w:val="center"/>
            <w:tcMar>
              <w:top w:w="90" w:type="dxa"/>
              <w:start w:w="110" w:type="dxa"/>
              <w:bottom w:w="90" w:type="dxa"/>
              <w:end w:w="110" w:type="dxa"/>
            </w:tcMar>
          </w:tcPr>
          <w:p>
            <w:pPr>
              <w:spacing w:after="40" w:before="20"/>
            </w:pPr>
            <w:r>
              <w:rPr>
                <w:rFonts w:ascii="Aptos" w:hAnsi="Aptos"/>
                <w:sz w:val="17"/>
              </w:rPr>
              <w:t>returns/quality; product and store tables</w:t>
            </w:r>
          </w:p>
        </w:tc>
        <w:tc>
          <w:tcPr>
            <w:tcW w:type="dxa" w:w="4320"/>
            <w:vAlign w:val="center"/>
            <w:tcMar>
              <w:top w:w="90" w:type="dxa"/>
              <w:start w:w="110" w:type="dxa"/>
              <w:bottom w:w="90" w:type="dxa"/>
              <w:end w:w="110" w:type="dxa"/>
            </w:tcMar>
          </w:tcPr>
          <w:p>
            <w:pPr>
              <w:spacing w:after="40" w:before="20"/>
            </w:pPr>
            <w:r>
              <w:rPr>
                <w:rFonts w:ascii="Aptos" w:hAnsi="Aptos"/>
                <w:sz w:val="17"/>
              </w:rPr>
              <w:t>Count and group complaint records by reason, SKU, and store.</w:t>
            </w:r>
          </w:p>
        </w:tc>
      </w:tr>
    </w:tbl>
    <w:p>
      <w:pPr>
        <w:spacing w:after="0"/>
      </w:pPr>
    </w:p>
    <w:p>
      <w:r>
        <w:t>For time-bound test questions, the evaluation’s stated anchor timestamp is used instead of the laptop clock. If joins or required fields are unavailable, the answer reports that limitation and avoids asserting an unsupported root cause.</w:t>
      </w:r>
    </w:p>
    <w:p>
      <w:pPr>
        <w:pStyle w:val="Heading1"/>
      </w:pPr>
      <w:r>
        <w:t>7. Safety, Escalation, and Human Oversight</w:t>
      </w:r>
    </w:p>
    <w:p>
      <w:pPr>
        <w:pStyle w:val="ListNumber"/>
        <w:spacing w:after="60"/>
      </w:pPr>
      <w:r>
        <w:t>Check for restricted-data requests, payment/security concerns, injury, unsafe equipment, and prompt-injection attempts.</w:t>
      </w:r>
    </w:p>
    <w:p>
      <w:pPr>
        <w:pStyle w:val="ListNumber"/>
        <w:spacing w:after="60"/>
      </w:pPr>
      <w:r>
        <w:t>Mask recognizable personal or payment-like data before downstream processing and avoid writing raw sensitive text to logs.</w:t>
      </w:r>
    </w:p>
    <w:p>
      <w:pPr>
        <w:pStyle w:val="ListNumber"/>
        <w:spacing w:after="60"/>
      </w:pPr>
      <w:r>
        <w:t>Apply policy and approval requirements, then assess incident scope and impact.</w:t>
      </w:r>
    </w:p>
    <w:p>
      <w:pPr>
        <w:pStyle w:val="ListNumber"/>
        <w:spacing w:after="60"/>
      </w:pPr>
      <w:r>
        <w:t>Use triage output for remaining classification; hard risk rules can raise priority but the model-less classifier cannot lower them.</w:t>
      </w:r>
    </w:p>
    <w:p>
      <w:pPr>
        <w:pStyle w:val="ListNumber"/>
        <w:spacing w:after="60"/>
      </w:pPr>
      <w:r>
        <w:t>Escalate P1, low-confidence, restricted, conflicting-policy, and approval-required cases.</w:t>
      </w:r>
    </w:p>
    <w:p>
      <w:pPr>
        <w:pStyle w:val="ListNumber"/>
        <w:spacing w:after="60"/>
      </w:pPr>
      <w:r>
        <w:t>Use the supplied escalation matrix for team, channel, and SLA when a matching route exists; otherwise route to a human manager and say routing data is missing.</w:t>
      </w:r>
    </w:p>
    <w:p>
      <w:pPr>
        <w:pStyle w:val="ListNumber"/>
        <w:spacing w:after="60"/>
      </w:pPr>
      <w:r>
        <w:t>Present recommendations and simulated ticket information only. A human performs real refunds, inventory updates, and vendor communications.</w:t>
      </w:r>
    </w:p>
    <w:p>
      <w:pPr>
        <w:pStyle w:val="Heading1"/>
      </w:pPr>
      <w:r>
        <w:t>8. Interface and Response</w:t>
      </w:r>
    </w:p>
    <w:p>
      <w:r>
        <w:t>The employee sees a concise recommendation with enough context to act or escalate. The UI should display the category, priority, confidence, reason, next steps, citations, datasets used, escalation destination, and safety status. The output file must follow the actual evaluation prediction schema exactly; that schema, not an example response, controls column names, order, and value types.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312"/>
            <w:vAlign w:val="center"/>
            <w:tcMar>
              <w:top w:w="90" w:type="dxa"/>
              <w:start w:w="110" w:type="dxa"/>
              <w:bottom w:w="90" w:type="dxa"/>
              <w:end w:w="110" w:type="dxa"/>
            </w:tcMar>
            <w:shd w:fill="17324D"/>
          </w:tcPr>
          <w:p>
            <w:pPr>
              <w:spacing w:after="40" w:before="20"/>
            </w:pPr>
            <w:r>
              <w:rPr>
                <w:rFonts w:ascii="Aptos" w:hAnsi="Aptos"/>
                <w:b/>
                <w:color w:val="FFFFFF"/>
                <w:sz w:val="17"/>
              </w:rPr>
              <w:t>Response information</w:t>
            </w:r>
          </w:p>
        </w:tc>
        <w:tc>
          <w:tcPr>
            <w:tcW w:type="dxa" w:w="6912"/>
            <w:vAlign w:val="center"/>
            <w:tcMar>
              <w:top w:w="90" w:type="dxa"/>
              <w:start w:w="110" w:type="dxa"/>
              <w:bottom w:w="90" w:type="dxa"/>
              <w:end w:w="110" w:type="dxa"/>
            </w:tcMar>
            <w:shd w:fill="17324D"/>
          </w:tcPr>
          <w:p>
            <w:pPr>
              <w:spacing w:after="40" w:before="20"/>
            </w:pPr>
            <w:r>
              <w:rPr>
                <w:rFonts w:ascii="Aptos" w:hAnsi="Aptos"/>
                <w:b/>
                <w:color w:val="FFFFFF"/>
                <w:sz w:val="17"/>
              </w:rPr>
              <w:t>Purpose</w:t>
            </w:r>
          </w:p>
        </w:tc>
      </w:tr>
      <w:tr>
        <w:tc>
          <w:tcPr>
            <w:tcW w:type="dxa" w:w="3312"/>
            <w:vAlign w:val="center"/>
            <w:tcMar>
              <w:top w:w="90" w:type="dxa"/>
              <w:start w:w="110" w:type="dxa"/>
              <w:bottom w:w="90" w:type="dxa"/>
              <w:end w:w="110" w:type="dxa"/>
            </w:tcMar>
          </w:tcPr>
          <w:p>
            <w:pPr>
              <w:spacing w:after="40" w:before="20"/>
            </w:pPr>
            <w:r>
              <w:rPr>
                <w:rFonts w:ascii="Aptos" w:hAnsi="Aptos"/>
                <w:sz w:val="17"/>
              </w:rPr>
              <w:t>Category, priority, confidence, rationale</w:t>
            </w:r>
          </w:p>
        </w:tc>
        <w:tc>
          <w:tcPr>
            <w:tcW w:type="dxa" w:w="6912"/>
            <w:vAlign w:val="center"/>
            <w:tcMar>
              <w:top w:w="90" w:type="dxa"/>
              <w:start w:w="110" w:type="dxa"/>
              <w:bottom w:w="90" w:type="dxa"/>
              <w:end w:w="110" w:type="dxa"/>
            </w:tcMar>
          </w:tcPr>
          <w:p>
            <w:pPr>
              <w:spacing w:after="40" w:before="20"/>
            </w:pPr>
            <w:r>
              <w:rPr>
                <w:rFonts w:ascii="Aptos" w:hAnsi="Aptos"/>
                <w:sz w:val="17"/>
              </w:rPr>
              <w:t>Explain how the issue was classified and how certain the rules are.</w:t>
            </w:r>
          </w:p>
        </w:tc>
      </w:tr>
      <w:tr>
        <w:tc>
          <w:tcPr>
            <w:tcW w:type="dxa" w:w="3312"/>
            <w:vAlign w:val="center"/>
            <w:tcMar>
              <w:top w:w="90" w:type="dxa"/>
              <w:start w:w="110" w:type="dxa"/>
              <w:bottom w:w="90" w:type="dxa"/>
              <w:end w:w="110" w:type="dxa"/>
            </w:tcMar>
            <w:shd w:fill="F3F6FA"/>
          </w:tcPr>
          <w:p>
            <w:pPr>
              <w:spacing w:after="40" w:before="20"/>
            </w:pPr>
            <w:r>
              <w:rPr>
                <w:rFonts w:ascii="Aptos" w:hAnsi="Aptos"/>
                <w:sz w:val="17"/>
              </w:rPr>
              <w:t>Answer and recommended next steps</w:t>
            </w:r>
          </w:p>
        </w:tc>
        <w:tc>
          <w:tcPr>
            <w:tcW w:type="dxa" w:w="6912"/>
            <w:vAlign w:val="center"/>
            <w:tcMar>
              <w:top w:w="90" w:type="dxa"/>
              <w:start w:w="110" w:type="dxa"/>
              <w:bottom w:w="90" w:type="dxa"/>
              <w:end w:w="110" w:type="dxa"/>
            </w:tcMar>
            <w:shd w:fill="F3F6FA"/>
          </w:tcPr>
          <w:p>
            <w:pPr>
              <w:spacing w:after="40" w:before="20"/>
            </w:pPr>
            <w:r>
              <w:rPr>
                <w:rFonts w:ascii="Aptos" w:hAnsi="Aptos"/>
                <w:sz w:val="17"/>
              </w:rPr>
              <w:t>Give actionable guidance grounded in policy or data.</w:t>
            </w:r>
          </w:p>
        </w:tc>
      </w:tr>
      <w:tr>
        <w:tc>
          <w:tcPr>
            <w:tcW w:type="dxa" w:w="3312"/>
            <w:vAlign w:val="center"/>
            <w:tcMar>
              <w:top w:w="90" w:type="dxa"/>
              <w:start w:w="110" w:type="dxa"/>
              <w:bottom w:w="90" w:type="dxa"/>
              <w:end w:w="110" w:type="dxa"/>
            </w:tcMar>
          </w:tcPr>
          <w:p>
            <w:pPr>
              <w:spacing w:after="40" w:before="20"/>
            </w:pPr>
            <w:r>
              <w:rPr>
                <w:rFonts w:ascii="Aptos" w:hAnsi="Aptos"/>
                <w:sz w:val="17"/>
              </w:rPr>
              <w:t>Citations and data used</w:t>
            </w:r>
          </w:p>
        </w:tc>
        <w:tc>
          <w:tcPr>
            <w:tcW w:type="dxa" w:w="6912"/>
            <w:vAlign w:val="center"/>
            <w:tcMar>
              <w:top w:w="90" w:type="dxa"/>
              <w:start w:w="110" w:type="dxa"/>
              <w:bottom w:w="90" w:type="dxa"/>
              <w:end w:w="110" w:type="dxa"/>
            </w:tcMar>
          </w:tcPr>
          <w:p>
            <w:pPr>
              <w:spacing w:after="40" w:before="20"/>
            </w:pPr>
            <w:r>
              <w:rPr>
                <w:rFonts w:ascii="Aptos" w:hAnsi="Aptos"/>
                <w:sz w:val="17"/>
              </w:rPr>
              <w:t>Show where policy statements and calculated facts came from.</w:t>
            </w:r>
          </w:p>
        </w:tc>
      </w:tr>
      <w:tr>
        <w:tc>
          <w:tcPr>
            <w:tcW w:type="dxa" w:w="3312"/>
            <w:vAlign w:val="center"/>
            <w:tcMar>
              <w:top w:w="90" w:type="dxa"/>
              <w:start w:w="110" w:type="dxa"/>
              <w:bottom w:w="90" w:type="dxa"/>
              <w:end w:w="110" w:type="dxa"/>
            </w:tcMar>
            <w:shd w:fill="F3F6FA"/>
          </w:tcPr>
          <w:p>
            <w:pPr>
              <w:spacing w:after="40" w:before="20"/>
            </w:pPr>
            <w:r>
              <w:rPr>
                <w:rFonts w:ascii="Aptos" w:hAnsi="Aptos"/>
                <w:sz w:val="17"/>
              </w:rPr>
              <w:t>Escalation and safety flags</w:t>
            </w:r>
          </w:p>
        </w:tc>
        <w:tc>
          <w:tcPr>
            <w:tcW w:type="dxa" w:w="6912"/>
            <w:vAlign w:val="center"/>
            <w:tcMar>
              <w:top w:w="90" w:type="dxa"/>
              <w:start w:w="110" w:type="dxa"/>
              <w:bottom w:w="90" w:type="dxa"/>
              <w:end w:w="110" w:type="dxa"/>
            </w:tcMar>
            <w:shd w:fill="F3F6FA"/>
          </w:tcPr>
          <w:p>
            <w:pPr>
              <w:spacing w:after="40" w:before="20"/>
            </w:pPr>
            <w:r>
              <w:rPr>
                <w:rFonts w:ascii="Aptos" w:hAnsi="Aptos"/>
                <w:sz w:val="17"/>
              </w:rPr>
              <w:t>Make review, refusal, and routing visible.</w:t>
            </w:r>
          </w:p>
        </w:tc>
      </w:tr>
      <w:tr>
        <w:tc>
          <w:tcPr>
            <w:tcW w:type="dxa" w:w="3312"/>
            <w:vAlign w:val="center"/>
            <w:tcMar>
              <w:top w:w="90" w:type="dxa"/>
              <w:start w:w="110" w:type="dxa"/>
              <w:bottom w:w="90" w:type="dxa"/>
              <w:end w:w="110" w:type="dxa"/>
            </w:tcMar>
          </w:tcPr>
          <w:p>
            <w:pPr>
              <w:spacing w:after="40" w:before="20"/>
            </w:pPr>
            <w:r>
              <w:rPr>
                <w:rFonts w:ascii="Aptos" w:hAnsi="Aptos"/>
                <w:sz w:val="17"/>
              </w:rPr>
              <w:t>Notes</w:t>
            </w:r>
          </w:p>
        </w:tc>
        <w:tc>
          <w:tcPr>
            <w:tcW w:type="dxa" w:w="6912"/>
            <w:vAlign w:val="center"/>
            <w:tcMar>
              <w:top w:w="90" w:type="dxa"/>
              <w:start w:w="110" w:type="dxa"/>
              <w:bottom w:w="90" w:type="dxa"/>
              <w:end w:w="110" w:type="dxa"/>
            </w:tcMar>
          </w:tcPr>
          <w:p>
            <w:pPr>
              <w:spacing w:after="40" w:before="20"/>
            </w:pPr>
            <w:r>
              <w:rPr>
                <w:rFonts w:ascii="Aptos" w:hAnsi="Aptos"/>
                <w:sz w:val="17"/>
              </w:rPr>
              <w:t>Disclose missing evidence or uncertainty.</w:t>
            </w:r>
          </w:p>
        </w:tc>
      </w:tr>
    </w:tbl>
    <w:p>
      <w:pPr>
        <w:spacing w:after="0"/>
      </w:pPr>
    </w:p>
    <w:p>
      <w:pPr>
        <w:pStyle w:val="Heading1"/>
      </w:pPr>
      <w:r>
        <w:t>9. Evaluation and Operational View</w:t>
      </w:r>
    </w:p>
    <w:p>
      <w:r>
        <w:t>The batch evaluation runner and interactive UI use the same orchestrator, avoiding separate behavior in the demo and scoring path. Evaluation compares category and priority to the supplied labels, validates citation source provenance, checks data-backed responses against the CSV records, and verifies safe handling of restricted cases. Metrics are reported only after the runner calculates them; target values are not presented as achieved results before measurement.</w:t>
      </w:r>
    </w:p>
    <w:p>
      <w:pPr>
        <w:pStyle w:val="ListBullet"/>
        <w:spacing w:after="60"/>
      </w:pPr>
      <w:r>
        <w:t>Category and priority accuracy on the supplied public cases.</w:t>
      </w:r>
    </w:p>
    <w:p>
      <w:pPr>
        <w:pStyle w:val="ListBullet"/>
        <w:spacing w:after="60"/>
      </w:pPr>
      <w:r>
        <w:t>Citation presence and validity for policy questions.</w:t>
      </w:r>
    </w:p>
    <w:p>
      <w:pPr>
        <w:pStyle w:val="ListBullet"/>
        <w:spacing w:after="60"/>
      </w:pPr>
      <w:r>
        <w:t>Safety pass rate for refusal and privacy cases.</w:t>
      </w:r>
    </w:p>
    <w:p>
      <w:pPr>
        <w:pStyle w:val="ListBullet"/>
        <w:spacing w:after="60"/>
      </w:pPr>
      <w:r>
        <w:t>Data-use correctness for questions requiring CSV calculations.</w:t>
      </w:r>
    </w:p>
    <w:p>
      <w:pPr>
        <w:pStyle w:val="ListBullet"/>
        <w:spacing w:after="60"/>
      </w:pPr>
      <w:r>
        <w:t>Prediction file validity against the supplied schema.</w:t>
      </w:r>
    </w:p>
    <w:p>
      <w:pPr>
        <w:pStyle w:val="Heading1"/>
      </w:pPr>
      <w:r>
        <w:t>10. Deployment, Limits, and Assumptions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72"/>
            <w:vAlign w:val="center"/>
            <w:tcMar>
              <w:top w:w="90" w:type="dxa"/>
              <w:start w:w="110" w:type="dxa"/>
              <w:bottom w:w="90" w:type="dxa"/>
              <w:end w:w="110" w:type="dxa"/>
            </w:tcMar>
            <w:shd w:fill="17324D"/>
          </w:tcPr>
          <w:p>
            <w:pPr>
              <w:spacing w:after="40" w:before="20"/>
            </w:pPr>
            <w:r>
              <w:rPr>
                <w:rFonts w:ascii="Aptos" w:hAnsi="Aptos"/>
                <w:b/>
                <w:color w:val="FFFFFF"/>
                <w:sz w:val="17"/>
              </w:rPr>
              <w:t>Topic</w:t>
            </w:r>
          </w:p>
        </w:tc>
        <w:tc>
          <w:tcPr>
            <w:tcW w:type="dxa" w:w="8352"/>
            <w:vAlign w:val="center"/>
            <w:tcMar>
              <w:top w:w="90" w:type="dxa"/>
              <w:start w:w="110" w:type="dxa"/>
              <w:bottom w:w="90" w:type="dxa"/>
              <w:end w:w="110" w:type="dxa"/>
            </w:tcMar>
            <w:shd w:fill="17324D"/>
          </w:tcPr>
          <w:p>
            <w:pPr>
              <w:spacing w:after="40" w:before="20"/>
            </w:pPr>
            <w:r>
              <w:rPr>
                <w:rFonts w:ascii="Aptos" w:hAnsi="Aptos"/>
                <w:b/>
                <w:color w:val="FFFFFF"/>
                <w:sz w:val="17"/>
              </w:rPr>
              <w:t>High-level design</w:t>
            </w:r>
          </w:p>
        </w:tc>
      </w:tr>
      <w:tr>
        <w:tc>
          <w:tcPr>
            <w:tcW w:type="dxa" w:w="1872"/>
            <w:vAlign w:val="center"/>
            <w:tcMar>
              <w:top w:w="90" w:type="dxa"/>
              <w:start w:w="110" w:type="dxa"/>
              <w:bottom w:w="90" w:type="dxa"/>
              <w:end w:w="110" w:type="dxa"/>
            </w:tcMar>
          </w:tcPr>
          <w:p>
            <w:pPr>
              <w:spacing w:after="40" w:before="20"/>
            </w:pPr>
            <w:r>
              <w:rPr>
                <w:rFonts w:ascii="Aptos" w:hAnsi="Aptos"/>
                <w:sz w:val="17"/>
              </w:rPr>
              <w:t>Deployment</w:t>
            </w:r>
          </w:p>
        </w:tc>
        <w:tc>
          <w:tcPr>
            <w:tcW w:type="dxa" w:w="8352"/>
            <w:vAlign w:val="center"/>
            <w:tcMar>
              <w:top w:w="90" w:type="dxa"/>
              <w:start w:w="110" w:type="dxa"/>
              <w:bottom w:w="90" w:type="dxa"/>
              <w:end w:w="110" w:type="dxa"/>
            </w:tcMar>
          </w:tcPr>
          <w:p>
            <w:pPr>
              <w:spacing w:after="40" w:before="20"/>
            </w:pPr>
            <w:r>
              <w:rPr>
                <w:rFonts w:ascii="Aptos" w:hAnsi="Aptos"/>
                <w:sz w:val="17"/>
              </w:rPr>
              <w:t>Run locally in one Python environment using Streamlit. No cloud service or network connection is required for core behavior.</w:t>
            </w:r>
          </w:p>
        </w:tc>
      </w:tr>
      <w:tr>
        <w:tc>
          <w:tcPr>
            <w:tcW w:type="dxa" w:w="1872"/>
            <w:vAlign w:val="center"/>
            <w:tcMar>
              <w:top w:w="90" w:type="dxa"/>
              <w:start w:w="110" w:type="dxa"/>
              <w:bottom w:w="90" w:type="dxa"/>
              <w:end w:w="110" w:type="dxa"/>
            </w:tcMar>
            <w:shd w:fill="F3F6FA"/>
          </w:tcPr>
          <w:p>
            <w:pPr>
              <w:spacing w:after="40" w:before="20"/>
            </w:pPr>
            <w:r>
              <w:rPr>
                <w:rFonts w:ascii="Aptos" w:hAnsi="Aptos"/>
                <w:sz w:val="17"/>
              </w:rPr>
              <w:t>Configuration</w:t>
            </w:r>
          </w:p>
        </w:tc>
        <w:tc>
          <w:tcPr>
            <w:tcW w:type="dxa" w:w="8352"/>
            <w:vAlign w:val="center"/>
            <w:tcMar>
              <w:top w:w="90" w:type="dxa"/>
              <w:start w:w="110" w:type="dxa"/>
              <w:bottom w:w="90" w:type="dxa"/>
              <w:end w:w="110" w:type="dxa"/>
            </w:tcMar>
            <w:shd w:fill="F3F6FA"/>
          </w:tcPr>
          <w:p>
            <w:pPr>
              <w:spacing w:after="40" w:before="20"/>
            </w:pPr>
            <w:r>
              <w:rPr>
                <w:rFonts w:ascii="Aptos" w:hAnsi="Aptos"/>
                <w:sz w:val="17"/>
              </w:rPr>
              <w:t>Keep data and policy paths in one documented application entry point or environment setting; use actual supplied directory names.</w:t>
            </w:r>
          </w:p>
        </w:tc>
      </w:tr>
      <w:tr>
        <w:tc>
          <w:tcPr>
            <w:tcW w:type="dxa" w:w="1872"/>
            <w:vAlign w:val="center"/>
            <w:tcMar>
              <w:top w:w="90" w:type="dxa"/>
              <w:start w:w="110" w:type="dxa"/>
              <w:bottom w:w="90" w:type="dxa"/>
              <w:end w:w="110" w:type="dxa"/>
            </w:tcMar>
          </w:tcPr>
          <w:p>
            <w:pPr>
              <w:spacing w:after="40" w:before="20"/>
            </w:pPr>
            <w:r>
              <w:rPr>
                <w:rFonts w:ascii="Aptos" w:hAnsi="Aptos"/>
                <w:sz w:val="17"/>
              </w:rPr>
              <w:t>Security</w:t>
            </w:r>
          </w:p>
        </w:tc>
        <w:tc>
          <w:tcPr>
            <w:tcW w:type="dxa" w:w="8352"/>
            <w:vAlign w:val="center"/>
            <w:tcMar>
              <w:top w:w="90" w:type="dxa"/>
              <w:start w:w="110" w:type="dxa"/>
              <w:bottom w:w="90" w:type="dxa"/>
              <w:end w:w="110" w:type="dxa"/>
            </w:tcMar>
          </w:tcPr>
          <w:p>
            <w:pPr>
              <w:spacing w:after="40" w:before="20"/>
            </w:pPr>
            <w:r>
              <w:rPr>
                <w:rFonts w:ascii="Aptos" w:hAnsi="Aptos"/>
                <w:sz w:val="17"/>
              </w:rPr>
              <w:t>Do not commit credentials or sensitive output. The baseline has no authentication; demo data should be the supplied dataset.</w:t>
            </w:r>
          </w:p>
        </w:tc>
      </w:tr>
      <w:tr>
        <w:tc>
          <w:tcPr>
            <w:tcW w:type="dxa" w:w="1872"/>
            <w:vAlign w:val="center"/>
            <w:tcMar>
              <w:top w:w="90" w:type="dxa"/>
              <w:start w:w="110" w:type="dxa"/>
              <w:bottom w:w="90" w:type="dxa"/>
              <w:end w:w="110" w:type="dxa"/>
            </w:tcMar>
            <w:shd w:fill="F3F6FA"/>
          </w:tcPr>
          <w:p>
            <w:pPr>
              <w:spacing w:after="40" w:before="20"/>
            </w:pPr>
            <w:r>
              <w:rPr>
                <w:rFonts w:ascii="Aptos" w:hAnsi="Aptos"/>
                <w:sz w:val="17"/>
              </w:rPr>
              <w:t>Reliability</w:t>
            </w:r>
          </w:p>
        </w:tc>
        <w:tc>
          <w:tcPr>
            <w:tcW w:type="dxa" w:w="8352"/>
            <w:vAlign w:val="center"/>
            <w:tcMar>
              <w:top w:w="90" w:type="dxa"/>
              <w:start w:w="110" w:type="dxa"/>
              <w:bottom w:w="90" w:type="dxa"/>
              <w:end w:w="110" w:type="dxa"/>
            </w:tcMar>
            <w:shd w:fill="F3F6FA"/>
          </w:tcPr>
          <w:p>
            <w:pPr>
              <w:spacing w:after="40" w:before="20"/>
            </w:pPr>
            <w:r>
              <w:rPr>
                <w:rFonts w:ascii="Aptos" w:hAnsi="Aptos"/>
                <w:sz w:val="17"/>
              </w:rPr>
              <w:t>Validate files at startup, use deterministic rules and calculations, and return a safe message when data or citations are missing.</w:t>
            </w:r>
          </w:p>
        </w:tc>
      </w:tr>
      <w:tr>
        <w:tc>
          <w:tcPr>
            <w:tcW w:type="dxa" w:w="1872"/>
            <w:vAlign w:val="center"/>
            <w:tcMar>
              <w:top w:w="90" w:type="dxa"/>
              <w:start w:w="110" w:type="dxa"/>
              <w:bottom w:w="90" w:type="dxa"/>
              <w:end w:w="110" w:type="dxa"/>
            </w:tcMar>
          </w:tcPr>
          <w:p>
            <w:pPr>
              <w:spacing w:after="40" w:before="20"/>
            </w:pPr>
            <w:r>
              <w:rPr>
                <w:rFonts w:ascii="Aptos" w:hAnsi="Aptos"/>
                <w:sz w:val="17"/>
              </w:rPr>
              <w:t>Limitations</w:t>
            </w:r>
          </w:p>
        </w:tc>
        <w:tc>
          <w:tcPr>
            <w:tcW w:type="dxa" w:w="8352"/>
            <w:vAlign w:val="center"/>
            <w:tcMar>
              <w:top w:w="90" w:type="dxa"/>
              <w:start w:w="110" w:type="dxa"/>
              <w:bottom w:w="90" w:type="dxa"/>
              <w:end w:w="110" w:type="dxa"/>
            </w:tcMar>
          </w:tcPr>
          <w:p>
            <w:pPr>
              <w:spacing w:after="40" w:before="20"/>
            </w:pPr>
            <w:r>
              <w:rPr>
                <w:rFonts w:ascii="Aptos" w:hAnsi="Aptos"/>
                <w:sz w:val="17"/>
              </w:rPr>
              <w:t>Static CSV snapshots; heuristic triage confidence; lightweight local retrieval; simulated escalation; no live transaction execution.</w:t>
            </w:r>
          </w:p>
        </w:tc>
      </w:tr>
      <w:tr>
        <w:tc>
          <w:tcPr>
            <w:tcW w:type="dxa" w:w="1872"/>
            <w:vAlign w:val="center"/>
            <w:tcMar>
              <w:top w:w="90" w:type="dxa"/>
              <w:start w:w="110" w:type="dxa"/>
              <w:bottom w:w="90" w:type="dxa"/>
              <w:end w:w="110" w:type="dxa"/>
            </w:tcMar>
            <w:shd w:fill="F3F6FA"/>
          </w:tcPr>
          <w:p>
            <w:pPr>
              <w:spacing w:after="40" w:before="20"/>
            </w:pPr>
            <w:r>
              <w:rPr>
                <w:rFonts w:ascii="Aptos" w:hAnsi="Aptos"/>
                <w:sz w:val="17"/>
              </w:rPr>
              <w:t>Future extensions</w:t>
            </w:r>
          </w:p>
        </w:tc>
        <w:tc>
          <w:tcPr>
            <w:tcW w:type="dxa" w:w="8352"/>
            <w:vAlign w:val="center"/>
            <w:tcMar>
              <w:top w:w="90" w:type="dxa"/>
              <w:start w:w="110" w:type="dxa"/>
              <w:bottom w:w="90" w:type="dxa"/>
              <w:end w:w="110" w:type="dxa"/>
            </w:tcMar>
            <w:shd w:fill="F3F6FA"/>
          </w:tcPr>
          <w:p>
            <w:pPr>
              <w:spacing w:after="40" w:before="20"/>
            </w:pPr>
            <w:r>
              <w:rPr>
                <w:rFonts w:ascii="Aptos" w:hAnsi="Aptos"/>
                <w:sz w:val="17"/>
              </w:rPr>
              <w:t>Calibrate confidence, add role-based access and audit logs, improve retrieval, and connect approved live systems with human authorization.</w:t>
            </w:r>
          </w:p>
        </w:tc>
      </w:tr>
    </w:tbl>
    <w:p>
      <w:pPr>
        <w:spacing w:after="0"/>
      </w:pPr>
    </w:p>
    <w:p>
      <w:pPr>
        <w:pStyle w:val="Heading1"/>
      </w:pPr>
      <w:r>
        <w:t>11. Summary</w:t>
      </w:r>
    </w:p>
    <w:p>
      <w:r>
        <w:t>The proposed system is a single, understandable application: safety checks protect the request, triage determines its type and urgency, policy and data agents provide evidence, workflow applies human routing, and validation checks the answer. Python, Streamlit, pandas, and a small TF-IDF policy index provide a complete stack without separate services or a required external model. This keeps the prototype straightforward to explain and suitable for the supplied hackathon data and evaluation flow.</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382"/>
        <w:sz w:val="16"/>
      </w:rPr>
      <w:t xml:space="preserve">Punjab Sports Mart  |  High-Level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5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B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Retail Operations Copilot High-Level Design</dc:title>
  <dc:subject>High-Level Design for Punjab Sports Mart retail operations copilot</dc:subject>
  <dc:creator>Punjab Sports Mart Hackathon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