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208" w:rsidRPr="004B2208" w:rsidRDefault="004B2208" w:rsidP="004B2208">
      <w:pPr>
        <w:jc w:val="center"/>
        <w:rPr>
          <w:b/>
          <w:bCs/>
        </w:rPr>
      </w:pPr>
      <w:r w:rsidRPr="004B2208">
        <w:rPr>
          <w:b/>
          <w:bCs/>
        </w:rPr>
        <w:t>DOENÇA DO REFLUXO GASTROESOFÁGICO (DRGE)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1. INTRODUÇÃO E RELEVÂNCIA CLÍNICA</w:t>
      </w:r>
    </w:p>
    <w:p w:rsidR="004B2208" w:rsidRPr="004B2208" w:rsidRDefault="004B2208" w:rsidP="004B2208">
      <w:pPr>
        <w:numPr>
          <w:ilvl w:val="0"/>
          <w:numId w:val="1"/>
        </w:numPr>
        <w:jc w:val="both"/>
      </w:pPr>
      <w:r w:rsidRPr="004B2208">
        <w:t>A Doença do Refluxo Gastroesofágico (DRGE) é uma das condições mais prevalentes na prática clínica de gastroenterologistas e cirurgiões do aparelho digestivo.</w:t>
      </w:r>
    </w:p>
    <w:p w:rsidR="004B2208" w:rsidRPr="004B2208" w:rsidRDefault="004B2208" w:rsidP="004B2208">
      <w:pPr>
        <w:numPr>
          <w:ilvl w:val="0"/>
          <w:numId w:val="1"/>
        </w:numPr>
        <w:jc w:val="both"/>
      </w:pPr>
      <w:r w:rsidRPr="004B2208">
        <w:t>Apresenta elevada demanda ambulatorial, tanto por pacientes sintomáticos quanto por encaminhamentos de outras especialidades.</w:t>
      </w:r>
    </w:p>
    <w:p w:rsidR="004B2208" w:rsidRPr="004B2208" w:rsidRDefault="004B2208" w:rsidP="004B2208">
      <w:pPr>
        <w:numPr>
          <w:ilvl w:val="0"/>
          <w:numId w:val="1"/>
        </w:numPr>
        <w:jc w:val="both"/>
      </w:pPr>
      <w:r w:rsidRPr="004B2208">
        <w:t>Impacta significativamente a qualidade de vida, sendo comparável a doenças cardiovasculares crônicas, com prejuízo do sono, alimentação e desempenho funcional diário.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Epidemiologia</w:t>
      </w:r>
    </w:p>
    <w:p w:rsidR="004B2208" w:rsidRPr="004B2208" w:rsidRDefault="004B2208" w:rsidP="004B2208">
      <w:pPr>
        <w:numPr>
          <w:ilvl w:val="0"/>
          <w:numId w:val="2"/>
        </w:numPr>
        <w:jc w:val="both"/>
      </w:pPr>
      <w:r w:rsidRPr="004B2208">
        <w:t xml:space="preserve">Prevalência mundial: </w:t>
      </w:r>
      <w:r w:rsidRPr="004B2208">
        <w:rPr>
          <w:b/>
          <w:bCs/>
        </w:rPr>
        <w:t>8–33% da população adulta</w:t>
      </w:r>
    </w:p>
    <w:p w:rsidR="004B2208" w:rsidRPr="004B2208" w:rsidRDefault="004B2208" w:rsidP="004B2208">
      <w:pPr>
        <w:numPr>
          <w:ilvl w:val="0"/>
          <w:numId w:val="2"/>
        </w:numPr>
        <w:jc w:val="both"/>
      </w:pPr>
      <w:r w:rsidRPr="004B2208">
        <w:t xml:space="preserve">Prevalência no Brasil: </w:t>
      </w:r>
      <w:r w:rsidRPr="004B2208">
        <w:rPr>
          <w:b/>
          <w:bCs/>
        </w:rPr>
        <w:t>12–20%</w:t>
      </w:r>
    </w:p>
    <w:p w:rsidR="004B2208" w:rsidRPr="004B2208" w:rsidRDefault="004B2208" w:rsidP="004B2208">
      <w:pPr>
        <w:numPr>
          <w:ilvl w:val="0"/>
          <w:numId w:val="2"/>
        </w:numPr>
        <w:jc w:val="both"/>
      </w:pPr>
      <w:r w:rsidRPr="004B2208">
        <w:t xml:space="preserve">Incidência: </w:t>
      </w:r>
      <w:r w:rsidRPr="004B2208">
        <w:rPr>
          <w:b/>
          <w:bCs/>
        </w:rPr>
        <w:t>4,5–5,4 casos novos/1.000 habitantes/ano</w:t>
      </w:r>
    </w:p>
    <w:p w:rsidR="004B2208" w:rsidRPr="004B2208" w:rsidRDefault="004B2208" w:rsidP="004B2208">
      <w:pPr>
        <w:numPr>
          <w:ilvl w:val="0"/>
          <w:numId w:val="2"/>
        </w:numPr>
        <w:jc w:val="both"/>
      </w:pPr>
      <w:r w:rsidRPr="004B2208">
        <w:t>Comparativamente:</w:t>
      </w:r>
    </w:p>
    <w:p w:rsidR="004B2208" w:rsidRPr="004B2208" w:rsidRDefault="004B2208" w:rsidP="004B2208">
      <w:pPr>
        <w:numPr>
          <w:ilvl w:val="1"/>
          <w:numId w:val="2"/>
        </w:numPr>
        <w:jc w:val="both"/>
      </w:pPr>
      <w:r w:rsidRPr="004B2208">
        <w:t xml:space="preserve">Diabetes </w:t>
      </w:r>
      <w:proofErr w:type="spellStart"/>
      <w:r w:rsidRPr="004B2208">
        <w:t>Mellitus</w:t>
      </w:r>
      <w:proofErr w:type="spellEnd"/>
      <w:r w:rsidRPr="004B2208">
        <w:t>: 10,2%</w:t>
      </w:r>
    </w:p>
    <w:p w:rsidR="004B2208" w:rsidRPr="004B2208" w:rsidRDefault="004B2208" w:rsidP="004B2208">
      <w:pPr>
        <w:numPr>
          <w:ilvl w:val="1"/>
          <w:numId w:val="2"/>
        </w:numPr>
        <w:jc w:val="both"/>
      </w:pPr>
      <w:r w:rsidRPr="004B2208">
        <w:t>Hipertensão Arterial Sistêmica: 27,9%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2. DEFINIÇÕES</w:t>
      </w:r>
    </w:p>
    <w:p w:rsidR="004B2208" w:rsidRPr="004B2208" w:rsidRDefault="004B2208" w:rsidP="004B2208">
      <w:pPr>
        <w:jc w:val="both"/>
        <w:rPr>
          <w:b/>
          <w:bCs/>
        </w:rPr>
      </w:pPr>
      <w:proofErr w:type="gramStart"/>
      <w:r w:rsidRPr="004B2208">
        <w:rPr>
          <w:b/>
          <w:bCs/>
        </w:rPr>
        <w:t>2.1 Refluxo</w:t>
      </w:r>
      <w:proofErr w:type="gramEnd"/>
      <w:r w:rsidRPr="004B2208">
        <w:rPr>
          <w:b/>
          <w:bCs/>
        </w:rPr>
        <w:t xml:space="preserve"> Gastroesofágico Fisiológico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Presente em indivíduos saudáveis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Até 50 episódios/dia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Duração limitada (≈ 4% do tempo em 24h)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Pequeno volume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Atinge no máximo o terço médio do esôfago</w:t>
      </w:r>
    </w:p>
    <w:p w:rsidR="004B2208" w:rsidRPr="004B2208" w:rsidRDefault="004B2208" w:rsidP="004B2208">
      <w:pPr>
        <w:numPr>
          <w:ilvl w:val="0"/>
          <w:numId w:val="3"/>
        </w:numPr>
        <w:jc w:val="both"/>
      </w:pPr>
      <w:r w:rsidRPr="004B2208">
        <w:t>Assintomático e sem lesão tecidual</w:t>
      </w:r>
    </w:p>
    <w:p w:rsidR="004B2208" w:rsidRPr="004B2208" w:rsidRDefault="004B2208" w:rsidP="004B2208">
      <w:pPr>
        <w:jc w:val="both"/>
        <w:rPr>
          <w:b/>
          <w:bCs/>
        </w:rPr>
      </w:pPr>
      <w:proofErr w:type="gramStart"/>
      <w:r w:rsidRPr="004B2208">
        <w:rPr>
          <w:b/>
          <w:bCs/>
        </w:rPr>
        <w:t>2.2 Doença</w:t>
      </w:r>
      <w:proofErr w:type="gramEnd"/>
      <w:r w:rsidRPr="004B2208">
        <w:rPr>
          <w:b/>
          <w:bCs/>
        </w:rPr>
        <w:t xml:space="preserve"> do Refluxo Gastroesofágico</w:t>
      </w:r>
    </w:p>
    <w:p w:rsidR="004B2208" w:rsidRPr="004B2208" w:rsidRDefault="004B2208" w:rsidP="004B2208">
      <w:pPr>
        <w:numPr>
          <w:ilvl w:val="0"/>
          <w:numId w:val="4"/>
        </w:numPr>
        <w:jc w:val="both"/>
      </w:pPr>
      <w:r w:rsidRPr="004B2208">
        <w:rPr>
          <w:b/>
          <w:bCs/>
        </w:rPr>
        <w:t>Consenso de Montreal (2006):</w:t>
      </w:r>
    </w:p>
    <w:p w:rsidR="004B2208" w:rsidRPr="004B2208" w:rsidRDefault="004B2208" w:rsidP="004B2208">
      <w:pPr>
        <w:jc w:val="both"/>
      </w:pPr>
      <w:r w:rsidRPr="004B2208">
        <w:t>“Condição que ocorre quando o refluxo do conteúdo gástrico causa sintomas incômodos e/ou complicações.”</w:t>
      </w:r>
    </w:p>
    <w:p w:rsidR="004B2208" w:rsidRPr="004B2208" w:rsidRDefault="004B2208" w:rsidP="004B2208">
      <w:pPr>
        <w:numPr>
          <w:ilvl w:val="0"/>
          <w:numId w:val="4"/>
        </w:numPr>
        <w:jc w:val="both"/>
      </w:pPr>
      <w:r w:rsidRPr="004B2208">
        <w:rPr>
          <w:b/>
          <w:bCs/>
        </w:rPr>
        <w:t>Consenso Brasileiro:</w:t>
      </w:r>
    </w:p>
    <w:p w:rsidR="004B2208" w:rsidRPr="004B2208" w:rsidRDefault="004B2208" w:rsidP="004B2208">
      <w:pPr>
        <w:jc w:val="both"/>
      </w:pPr>
      <w:r w:rsidRPr="004B2208">
        <w:lastRenderedPageBreak/>
        <w:t>“Afecção relacionada ao refluxo crônico do material gastroduodenal para o esôfago e/ou órgãos adjacentes, com ou sem lesão tecidual.”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3. MECANISMOS DE CONTENÇÃO AO REFLUXO (BARREIRAS FISIOLÓGICAS)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r w:rsidRPr="004B2208">
        <w:t>Esfíncter Esofagiano Inferior (EEI)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proofErr w:type="spellStart"/>
      <w:r w:rsidRPr="004B2208">
        <w:t>Crura</w:t>
      </w:r>
      <w:proofErr w:type="spellEnd"/>
      <w:r w:rsidRPr="004B2208">
        <w:t xml:space="preserve"> diafragmática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r w:rsidRPr="004B2208">
        <w:t>Segmento esofagiano intra-abdominal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r w:rsidRPr="004B2208">
        <w:t xml:space="preserve">Membrana </w:t>
      </w:r>
      <w:proofErr w:type="spellStart"/>
      <w:r w:rsidRPr="004B2208">
        <w:t>frenoesofágica</w:t>
      </w:r>
      <w:proofErr w:type="spellEnd"/>
    </w:p>
    <w:p w:rsidR="004B2208" w:rsidRPr="004B2208" w:rsidRDefault="004B2208" w:rsidP="004B2208">
      <w:pPr>
        <w:numPr>
          <w:ilvl w:val="0"/>
          <w:numId w:val="5"/>
        </w:numPr>
        <w:jc w:val="both"/>
      </w:pPr>
      <w:proofErr w:type="spellStart"/>
      <w:r w:rsidRPr="004B2208">
        <w:t>Peristalse</w:t>
      </w:r>
      <w:proofErr w:type="spellEnd"/>
      <w:r w:rsidRPr="004B2208">
        <w:t xml:space="preserve"> esofágica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r w:rsidRPr="004B2208">
        <w:t>Clareamento esofágico (saliva + gravidade)</w:t>
      </w:r>
    </w:p>
    <w:p w:rsidR="004B2208" w:rsidRPr="004B2208" w:rsidRDefault="004B2208" w:rsidP="004B2208">
      <w:pPr>
        <w:numPr>
          <w:ilvl w:val="0"/>
          <w:numId w:val="5"/>
        </w:numPr>
        <w:jc w:val="both"/>
      </w:pPr>
      <w:r w:rsidRPr="004B2208">
        <w:t>Esvaziamento gástrico</w:t>
      </w:r>
    </w:p>
    <w:p w:rsidR="004B2208" w:rsidRPr="004B2208" w:rsidRDefault="004B2208" w:rsidP="004B2208">
      <w:pPr>
        <w:jc w:val="both"/>
      </w:pPr>
      <w:r w:rsidRPr="004B2208">
        <w:rPr>
          <w:rFonts w:ascii="MS Gothic" w:eastAsia="MS Gothic" w:hAnsi="MS Gothic" w:cs="MS Gothic" w:hint="eastAsia"/>
        </w:rPr>
        <w:t>➡</w:t>
      </w:r>
      <w:r w:rsidRPr="004B2208">
        <w:t xml:space="preserve"> </w:t>
      </w:r>
      <w:r w:rsidRPr="004B2208">
        <w:rPr>
          <w:b/>
          <w:bCs/>
        </w:rPr>
        <w:t>Principais barreiras:</w:t>
      </w:r>
      <w:r w:rsidRPr="004B2208">
        <w:t xml:space="preserve"> EEI e </w:t>
      </w:r>
      <w:proofErr w:type="spellStart"/>
      <w:r w:rsidRPr="004B2208">
        <w:t>crura</w:t>
      </w:r>
      <w:proofErr w:type="spellEnd"/>
      <w:r w:rsidRPr="004B2208">
        <w:t xml:space="preserve"> diafragmática.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4. FISIOPATOLOGIA DA DRGE</w:t>
      </w:r>
    </w:p>
    <w:p w:rsidR="004B2208" w:rsidRPr="004B2208" w:rsidRDefault="004B2208" w:rsidP="004B2208">
      <w:pPr>
        <w:numPr>
          <w:ilvl w:val="0"/>
          <w:numId w:val="6"/>
        </w:numPr>
        <w:jc w:val="both"/>
      </w:pPr>
      <w:r w:rsidRPr="004B2208">
        <w:t>Envolve fatores:</w:t>
      </w:r>
    </w:p>
    <w:p w:rsidR="004B2208" w:rsidRPr="004B2208" w:rsidRDefault="004B2208" w:rsidP="004B2208">
      <w:pPr>
        <w:numPr>
          <w:ilvl w:val="1"/>
          <w:numId w:val="6"/>
        </w:numPr>
        <w:jc w:val="both"/>
      </w:pPr>
      <w:r w:rsidRPr="004B2208">
        <w:t>Esofágicos</w:t>
      </w:r>
    </w:p>
    <w:p w:rsidR="004B2208" w:rsidRPr="004B2208" w:rsidRDefault="004B2208" w:rsidP="004B2208">
      <w:pPr>
        <w:numPr>
          <w:ilvl w:val="1"/>
          <w:numId w:val="6"/>
        </w:numPr>
        <w:jc w:val="both"/>
      </w:pPr>
      <w:r w:rsidRPr="004B2208">
        <w:t>Gástricos</w:t>
      </w:r>
    </w:p>
    <w:p w:rsidR="004B2208" w:rsidRPr="004B2208" w:rsidRDefault="004B2208" w:rsidP="004B2208">
      <w:pPr>
        <w:numPr>
          <w:ilvl w:val="1"/>
          <w:numId w:val="6"/>
        </w:numPr>
        <w:jc w:val="both"/>
      </w:pPr>
      <w:r w:rsidRPr="004B2208">
        <w:t xml:space="preserve">Principalmente da junção </w:t>
      </w:r>
      <w:proofErr w:type="spellStart"/>
      <w:r w:rsidRPr="004B2208">
        <w:t>esôfago-gástrica</w:t>
      </w:r>
      <w:proofErr w:type="spellEnd"/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Determinantes da Lesão Esofágica</w:t>
      </w:r>
    </w:p>
    <w:p w:rsidR="004B2208" w:rsidRPr="004B2208" w:rsidRDefault="004B2208" w:rsidP="004B2208">
      <w:pPr>
        <w:numPr>
          <w:ilvl w:val="0"/>
          <w:numId w:val="7"/>
        </w:numPr>
        <w:jc w:val="both"/>
      </w:pPr>
      <w:r w:rsidRPr="004B2208">
        <w:t>Quantidade de ácido refluído</w:t>
      </w:r>
    </w:p>
    <w:p w:rsidR="004B2208" w:rsidRPr="004B2208" w:rsidRDefault="004B2208" w:rsidP="004B2208">
      <w:pPr>
        <w:numPr>
          <w:ilvl w:val="0"/>
          <w:numId w:val="7"/>
        </w:numPr>
        <w:jc w:val="both"/>
      </w:pPr>
      <w:r w:rsidRPr="004B2208">
        <w:t>Tempo de exposição ácida</w:t>
      </w:r>
    </w:p>
    <w:p w:rsidR="004B2208" w:rsidRPr="004B2208" w:rsidRDefault="004B2208" w:rsidP="004B2208">
      <w:pPr>
        <w:numPr>
          <w:ilvl w:val="0"/>
          <w:numId w:val="7"/>
        </w:numPr>
        <w:jc w:val="both"/>
      </w:pPr>
      <w:r w:rsidRPr="004B2208">
        <w:t>Resistência da mucosa esofágica</w:t>
      </w:r>
    </w:p>
    <w:p w:rsidR="004B2208" w:rsidRPr="004B2208" w:rsidRDefault="004B2208" w:rsidP="004B2208">
      <w:pPr>
        <w:numPr>
          <w:ilvl w:val="0"/>
          <w:numId w:val="7"/>
        </w:numPr>
        <w:jc w:val="both"/>
      </w:pPr>
      <w:r w:rsidRPr="004B2208">
        <w:t>Sensibilidade esofágica (modulada por fatores psicoemocionais)</w:t>
      </w:r>
    </w:p>
    <w:p w:rsidR="004B2208" w:rsidRPr="004B2208" w:rsidRDefault="004B2208" w:rsidP="004B2208">
      <w:pPr>
        <w:jc w:val="both"/>
      </w:pPr>
      <w:r w:rsidRPr="004B2208">
        <w:rPr>
          <w:rFonts w:ascii="MS Gothic" w:eastAsia="MS Gothic" w:hAnsi="MS Gothic" w:cs="MS Gothic" w:hint="eastAsia"/>
        </w:rPr>
        <w:t>➡</w:t>
      </w:r>
      <w:r w:rsidRPr="004B2208">
        <w:rPr>
          <w:rFonts w:ascii="Calibri" w:hAnsi="Calibri" w:cs="Calibri"/>
        </w:rPr>
        <w:t>️</w:t>
      </w:r>
      <w:r w:rsidRPr="004B2208">
        <w:t xml:space="preserve"> </w:t>
      </w:r>
      <w:proofErr w:type="gramStart"/>
      <w:r w:rsidRPr="004B2208">
        <w:t>A</w:t>
      </w:r>
      <w:proofErr w:type="gramEnd"/>
      <w:r w:rsidRPr="004B2208">
        <w:t xml:space="preserve"> interrupção do tratamento resulta em recorrência das lesões em até </w:t>
      </w:r>
      <w:r w:rsidRPr="004B2208">
        <w:rPr>
          <w:b/>
          <w:bCs/>
        </w:rPr>
        <w:t>80%</w:t>
      </w:r>
      <w:r w:rsidRPr="004B2208">
        <w:t xml:space="preserve"> dos casos.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5. MECANISMOS PATOLÓGICOS ASSOCIADOS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>Relaxamentos transitórios não coordenados do EEI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>Hipotonia do EEI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>Hérnia de hiato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 xml:space="preserve">Alterações da </w:t>
      </w:r>
      <w:proofErr w:type="spellStart"/>
      <w:r w:rsidRPr="004B2208">
        <w:t>peristalse</w:t>
      </w:r>
      <w:proofErr w:type="spellEnd"/>
      <w:r w:rsidRPr="004B2208">
        <w:t xml:space="preserve"> esofágica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>Redução da salivação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lastRenderedPageBreak/>
        <w:t>Obesidade (principal fator agravante atual)</w:t>
      </w:r>
    </w:p>
    <w:p w:rsidR="004B2208" w:rsidRPr="004B2208" w:rsidRDefault="004B2208" w:rsidP="004B2208">
      <w:pPr>
        <w:numPr>
          <w:ilvl w:val="0"/>
          <w:numId w:val="8"/>
        </w:numPr>
        <w:jc w:val="both"/>
      </w:pPr>
      <w:r w:rsidRPr="004B2208">
        <w:t>Bolsa ácida gástrica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6. HÉRNIA DE HIATO</w:t>
      </w:r>
    </w:p>
    <w:p w:rsidR="004B2208" w:rsidRPr="004B2208" w:rsidRDefault="004B2208" w:rsidP="004B2208">
      <w:pPr>
        <w:numPr>
          <w:ilvl w:val="0"/>
          <w:numId w:val="9"/>
        </w:numPr>
        <w:jc w:val="both"/>
      </w:pPr>
      <w:r w:rsidRPr="004B2208">
        <w:t xml:space="preserve">Definição: deslocamento da transição </w:t>
      </w:r>
      <w:proofErr w:type="spellStart"/>
      <w:r w:rsidRPr="004B2208">
        <w:t>esôfago-gástrica</w:t>
      </w:r>
      <w:proofErr w:type="spellEnd"/>
      <w:r w:rsidRPr="004B2208">
        <w:t xml:space="preserve"> ≥ </w:t>
      </w:r>
      <w:proofErr w:type="gramStart"/>
      <w:r w:rsidRPr="004B2208">
        <w:t>2</w:t>
      </w:r>
      <w:proofErr w:type="gramEnd"/>
      <w:r w:rsidRPr="004B2208">
        <w:t xml:space="preserve"> cm acima da </w:t>
      </w:r>
      <w:proofErr w:type="spellStart"/>
      <w:r w:rsidRPr="004B2208">
        <w:t>crura</w:t>
      </w:r>
      <w:proofErr w:type="spellEnd"/>
      <w:r w:rsidRPr="004B2208">
        <w:t xml:space="preserve"> diafragmática.</w:t>
      </w:r>
    </w:p>
    <w:p w:rsidR="004B2208" w:rsidRPr="004B2208" w:rsidRDefault="004B2208" w:rsidP="004B2208">
      <w:pPr>
        <w:numPr>
          <w:ilvl w:val="0"/>
          <w:numId w:val="9"/>
        </w:numPr>
        <w:jc w:val="both"/>
      </w:pPr>
      <w:r w:rsidRPr="004B2208">
        <w:t>Não é sinônimo de DRGE.</w:t>
      </w:r>
    </w:p>
    <w:p w:rsidR="004B2208" w:rsidRPr="004B2208" w:rsidRDefault="004B2208" w:rsidP="004B2208">
      <w:pPr>
        <w:numPr>
          <w:ilvl w:val="0"/>
          <w:numId w:val="9"/>
        </w:numPr>
        <w:jc w:val="both"/>
      </w:pPr>
      <w:r w:rsidRPr="004B2208">
        <w:t xml:space="preserve">A maioria dos pacientes com DRGE </w:t>
      </w:r>
      <w:r w:rsidRPr="004B2208">
        <w:rPr>
          <w:b/>
          <w:bCs/>
        </w:rPr>
        <w:t>não possui hérnia de hiato</w:t>
      </w:r>
      <w:r w:rsidRPr="004B2208">
        <w:t>.</w:t>
      </w:r>
    </w:p>
    <w:p w:rsidR="004B2208" w:rsidRPr="004B2208" w:rsidRDefault="004B2208" w:rsidP="004B2208">
      <w:pPr>
        <w:numPr>
          <w:ilvl w:val="0"/>
          <w:numId w:val="9"/>
        </w:numPr>
        <w:jc w:val="both"/>
      </w:pPr>
      <w:r w:rsidRPr="004B2208">
        <w:t>Hérnias &gt; 2,5–3 cm associam-se a quadros mais graves.</w:t>
      </w:r>
    </w:p>
    <w:p w:rsidR="004B2208" w:rsidRPr="004B2208" w:rsidRDefault="004B2208" w:rsidP="004B2208">
      <w:pPr>
        <w:jc w:val="both"/>
      </w:pPr>
      <w:proofErr w:type="gramStart"/>
      <w:r w:rsidRPr="004B2208">
        <w:rPr>
          <w:rFonts w:ascii="MS Gothic" w:eastAsia="MS Gothic" w:hAnsi="MS Gothic" w:cs="MS Gothic" w:hint="eastAsia"/>
        </w:rPr>
        <w:t>➡</w:t>
      </w:r>
      <w:r w:rsidRPr="004B2208">
        <w:t xml:space="preserve"> Em pacientes assintomáticos, a conduta conservadora é adequada em </w:t>
      </w:r>
      <w:r w:rsidRPr="004B2208">
        <w:rPr>
          <w:b/>
          <w:bCs/>
        </w:rPr>
        <w:t>≈83%</w:t>
      </w:r>
      <w:r w:rsidRPr="004B2208">
        <w:t xml:space="preserve"> dos casos.</w:t>
      </w:r>
      <w:proofErr w:type="gramEnd"/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7. MANIFESTAÇÕES CLÍNICAS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7.1 Sintomas Esofágicos (Típicos)</w:t>
      </w:r>
    </w:p>
    <w:p w:rsidR="004B2208" w:rsidRPr="004B2208" w:rsidRDefault="004B2208" w:rsidP="004B2208">
      <w:pPr>
        <w:numPr>
          <w:ilvl w:val="0"/>
          <w:numId w:val="10"/>
        </w:numPr>
        <w:jc w:val="both"/>
      </w:pPr>
      <w:r w:rsidRPr="004B2208">
        <w:t>Pirose (queimação retroesternal)</w:t>
      </w:r>
    </w:p>
    <w:p w:rsidR="004B2208" w:rsidRPr="004B2208" w:rsidRDefault="004B2208" w:rsidP="004B2208">
      <w:pPr>
        <w:numPr>
          <w:ilvl w:val="0"/>
          <w:numId w:val="10"/>
        </w:numPr>
        <w:jc w:val="both"/>
      </w:pPr>
      <w:r w:rsidRPr="004B2208">
        <w:t>Regurgitação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7.2 Sintomas Extraesofágicos (Atípicos)</w:t>
      </w:r>
    </w:p>
    <w:p w:rsidR="004B2208" w:rsidRPr="004B2208" w:rsidRDefault="004B2208" w:rsidP="004B2208">
      <w:pPr>
        <w:numPr>
          <w:ilvl w:val="0"/>
          <w:numId w:val="11"/>
        </w:numPr>
        <w:jc w:val="both"/>
      </w:pPr>
      <w:r w:rsidRPr="004B2208">
        <w:t>Dor torácica não cardíaca</w:t>
      </w:r>
    </w:p>
    <w:p w:rsidR="004B2208" w:rsidRPr="004B2208" w:rsidRDefault="004B2208" w:rsidP="004B2208">
      <w:pPr>
        <w:numPr>
          <w:ilvl w:val="0"/>
          <w:numId w:val="11"/>
        </w:numPr>
        <w:jc w:val="both"/>
      </w:pPr>
      <w:r w:rsidRPr="004B2208">
        <w:t>Sintomas otorrinolaringológicos:</w:t>
      </w:r>
    </w:p>
    <w:p w:rsidR="004B2208" w:rsidRPr="004B2208" w:rsidRDefault="004B2208" w:rsidP="004B2208">
      <w:pPr>
        <w:numPr>
          <w:ilvl w:val="1"/>
          <w:numId w:val="11"/>
        </w:numPr>
        <w:jc w:val="both"/>
      </w:pPr>
      <w:r w:rsidRPr="004B2208">
        <w:t xml:space="preserve">Rouquidão, pigarro, </w:t>
      </w:r>
      <w:proofErr w:type="spellStart"/>
      <w:r w:rsidRPr="004B2208">
        <w:t>globus</w:t>
      </w:r>
      <w:proofErr w:type="spellEnd"/>
      <w:r w:rsidRPr="004B2208">
        <w:t xml:space="preserve">, laringite, faringite, erosão </w:t>
      </w:r>
      <w:proofErr w:type="gramStart"/>
      <w:r w:rsidRPr="004B2208">
        <w:t>dentária</w:t>
      </w:r>
      <w:proofErr w:type="gramEnd"/>
    </w:p>
    <w:p w:rsidR="004B2208" w:rsidRPr="004B2208" w:rsidRDefault="004B2208" w:rsidP="004B2208">
      <w:pPr>
        <w:numPr>
          <w:ilvl w:val="0"/>
          <w:numId w:val="11"/>
        </w:numPr>
        <w:jc w:val="both"/>
      </w:pPr>
      <w:r w:rsidRPr="004B2208">
        <w:t>Sintomas respiratórios:</w:t>
      </w:r>
    </w:p>
    <w:p w:rsidR="004B2208" w:rsidRPr="004B2208" w:rsidRDefault="004B2208" w:rsidP="004B2208">
      <w:pPr>
        <w:numPr>
          <w:ilvl w:val="1"/>
          <w:numId w:val="11"/>
        </w:numPr>
        <w:jc w:val="both"/>
      </w:pPr>
      <w:r w:rsidRPr="004B2208">
        <w:t xml:space="preserve">Tosse crônica, asma, pneumonias de </w:t>
      </w:r>
      <w:proofErr w:type="gramStart"/>
      <w:r w:rsidRPr="004B2208">
        <w:t>repetição</w:t>
      </w:r>
      <w:proofErr w:type="gramEnd"/>
    </w:p>
    <w:p w:rsidR="004B2208" w:rsidRPr="004B2208" w:rsidRDefault="004B2208" w:rsidP="004B2208">
      <w:pPr>
        <w:jc w:val="both"/>
      </w:pPr>
      <w:r w:rsidRPr="004B2208">
        <w:rPr>
          <w:rFonts w:ascii="MS Gothic" w:eastAsia="MS Gothic" w:hAnsi="MS Gothic" w:cs="MS Gothic" w:hint="eastAsia"/>
        </w:rPr>
        <w:t>➡</w:t>
      </w:r>
      <w:r w:rsidRPr="004B2208">
        <w:rPr>
          <w:rFonts w:ascii="Calibri" w:hAnsi="Calibri" w:cs="Calibri"/>
        </w:rPr>
        <w:t>️</w:t>
      </w:r>
      <w:r w:rsidRPr="004B2208">
        <w:t xml:space="preserve"> Apenas:</w:t>
      </w:r>
    </w:p>
    <w:p w:rsidR="004B2208" w:rsidRPr="004B2208" w:rsidRDefault="004B2208" w:rsidP="004B2208">
      <w:pPr>
        <w:numPr>
          <w:ilvl w:val="0"/>
          <w:numId w:val="12"/>
        </w:numPr>
        <w:jc w:val="both"/>
      </w:pPr>
      <w:r w:rsidRPr="004B2208">
        <w:t>40% dos pacientes respiratórios</w:t>
      </w:r>
    </w:p>
    <w:p w:rsidR="004B2208" w:rsidRPr="004B2208" w:rsidRDefault="004B2208" w:rsidP="004B2208">
      <w:pPr>
        <w:numPr>
          <w:ilvl w:val="0"/>
          <w:numId w:val="12"/>
        </w:numPr>
        <w:jc w:val="both"/>
      </w:pPr>
      <w:r w:rsidRPr="004B2208">
        <w:t>20% dos pacientes ORL</w:t>
      </w:r>
      <w:r w:rsidRPr="004B2208">
        <w:br/>
        <w:t>apresentam sintomas típicos de DRGE.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8. LIMITAÇÕES DO DIAGNÓSTICO CLÍNICO</w:t>
      </w:r>
    </w:p>
    <w:p w:rsidR="004B2208" w:rsidRPr="004B2208" w:rsidRDefault="004B2208" w:rsidP="004B2208">
      <w:pPr>
        <w:numPr>
          <w:ilvl w:val="0"/>
          <w:numId w:val="13"/>
        </w:numPr>
        <w:jc w:val="both"/>
      </w:pPr>
      <w:r w:rsidRPr="004B2208">
        <w:t>Sensibilidade: 82%</w:t>
      </w:r>
    </w:p>
    <w:p w:rsidR="004B2208" w:rsidRPr="004B2208" w:rsidRDefault="004B2208" w:rsidP="004B2208">
      <w:pPr>
        <w:numPr>
          <w:ilvl w:val="0"/>
          <w:numId w:val="13"/>
        </w:numPr>
        <w:jc w:val="both"/>
      </w:pPr>
      <w:r w:rsidRPr="004B2208">
        <w:t>Especificidade: 22%</w:t>
      </w:r>
    </w:p>
    <w:p w:rsidR="004B2208" w:rsidRPr="004B2208" w:rsidRDefault="004B2208" w:rsidP="004B2208">
      <w:pPr>
        <w:numPr>
          <w:ilvl w:val="0"/>
          <w:numId w:val="13"/>
        </w:numPr>
        <w:jc w:val="both"/>
      </w:pPr>
      <w:proofErr w:type="spellStart"/>
      <w:r w:rsidRPr="004B2208">
        <w:t>Acurácia</w:t>
      </w:r>
      <w:proofErr w:type="spellEnd"/>
      <w:r w:rsidRPr="004B2208">
        <w:t xml:space="preserve"> global: 50%</w:t>
      </w:r>
    </w:p>
    <w:p w:rsidR="004B2208" w:rsidRPr="004B2208" w:rsidRDefault="004B2208" w:rsidP="004B2208">
      <w:pPr>
        <w:jc w:val="both"/>
      </w:pPr>
      <w:proofErr w:type="gramStart"/>
      <w:r w:rsidRPr="004B2208">
        <w:rPr>
          <w:rFonts w:ascii="MS Gothic" w:eastAsia="MS Gothic" w:hAnsi="MS Gothic" w:cs="MS Gothic" w:hint="eastAsia"/>
        </w:rPr>
        <w:t>➡</w:t>
      </w:r>
      <w:r w:rsidRPr="004B2208">
        <w:rPr>
          <w:rFonts w:ascii="Calibri" w:hAnsi="Calibri" w:cs="Calibri"/>
        </w:rPr>
        <w:t>️</w:t>
      </w:r>
      <w:r w:rsidRPr="004B2208">
        <w:t xml:space="preserve"> </w:t>
      </w:r>
      <w:r w:rsidRPr="004B2208">
        <w:rPr>
          <w:b/>
          <w:bCs/>
        </w:rPr>
        <w:t>Não existe correlação direta entre intensidade dos sintomas e gravidade das lesões.</w:t>
      </w:r>
      <w:proofErr w:type="gramEnd"/>
    </w:p>
    <w:p w:rsidR="004B2208" w:rsidRPr="004B2208" w:rsidRDefault="004B2208" w:rsidP="004B2208">
      <w:pPr>
        <w:jc w:val="both"/>
      </w:pP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9. DOENÇA DO REFLUXO LARINGOFARÍNGEO (DRLF)</w:t>
      </w:r>
    </w:p>
    <w:p w:rsidR="004B2208" w:rsidRPr="004B2208" w:rsidRDefault="004B2208" w:rsidP="004B2208">
      <w:pPr>
        <w:numPr>
          <w:ilvl w:val="0"/>
          <w:numId w:val="14"/>
        </w:numPr>
        <w:jc w:val="both"/>
      </w:pPr>
      <w:r w:rsidRPr="004B2208">
        <w:t xml:space="preserve">Sintomas crônicos ≥ 2x/semana por ≥ </w:t>
      </w:r>
      <w:proofErr w:type="gramStart"/>
      <w:r w:rsidRPr="004B2208">
        <w:t>8</w:t>
      </w:r>
      <w:proofErr w:type="gramEnd"/>
      <w:r w:rsidRPr="004B2208">
        <w:t xml:space="preserve"> semanas</w:t>
      </w:r>
    </w:p>
    <w:p w:rsidR="004B2208" w:rsidRPr="004B2208" w:rsidRDefault="004B2208" w:rsidP="004B2208">
      <w:pPr>
        <w:numPr>
          <w:ilvl w:val="0"/>
          <w:numId w:val="14"/>
        </w:numPr>
        <w:jc w:val="both"/>
      </w:pPr>
      <w:r w:rsidRPr="004B2208">
        <w:t xml:space="preserve">Tosse, rouquidão, pigarro, dor de </w:t>
      </w:r>
      <w:proofErr w:type="gramStart"/>
      <w:r w:rsidRPr="004B2208">
        <w:t>garganta</w:t>
      </w:r>
      <w:proofErr w:type="gramEnd"/>
    </w:p>
    <w:p w:rsidR="004B2208" w:rsidRPr="004B2208" w:rsidRDefault="004B2208" w:rsidP="004B2208">
      <w:pPr>
        <w:numPr>
          <w:ilvl w:val="0"/>
          <w:numId w:val="14"/>
        </w:numPr>
        <w:jc w:val="both"/>
      </w:pPr>
      <w:r w:rsidRPr="004B2208">
        <w:t>Prevalência real ≈ 35%</w:t>
      </w:r>
    </w:p>
    <w:p w:rsidR="004B2208" w:rsidRPr="004B2208" w:rsidRDefault="004B2208" w:rsidP="004B2208">
      <w:pPr>
        <w:numPr>
          <w:ilvl w:val="0"/>
          <w:numId w:val="14"/>
        </w:numPr>
        <w:jc w:val="both"/>
      </w:pPr>
      <w:r w:rsidRPr="004B2208">
        <w:t xml:space="preserve">Cerca de 60% apresentam </w:t>
      </w:r>
      <w:proofErr w:type="spellStart"/>
      <w:proofErr w:type="gramStart"/>
      <w:r w:rsidRPr="004B2208">
        <w:t>pHmetria</w:t>
      </w:r>
      <w:proofErr w:type="spellEnd"/>
      <w:proofErr w:type="gramEnd"/>
      <w:r w:rsidRPr="004B2208">
        <w:t xml:space="preserve"> normal</w:t>
      </w:r>
    </w:p>
    <w:p w:rsidR="004B2208" w:rsidRPr="004B2208" w:rsidRDefault="004B2208" w:rsidP="004B2208">
      <w:pPr>
        <w:jc w:val="both"/>
      </w:pPr>
      <w:r w:rsidRPr="004B2208">
        <w:rPr>
          <w:rFonts w:ascii="MS Gothic" w:eastAsia="MS Gothic" w:hAnsi="MS Gothic" w:cs="MS Gothic" w:hint="eastAsia"/>
        </w:rPr>
        <w:t>➡</w:t>
      </w:r>
      <w:r w:rsidRPr="004B2208">
        <w:rPr>
          <w:rFonts w:ascii="Calibri" w:hAnsi="Calibri" w:cs="Calibri"/>
        </w:rPr>
        <w:t>️</w:t>
      </w:r>
      <w:r w:rsidRPr="004B2208">
        <w:t xml:space="preserve"> Videolaringoscopia:</w:t>
      </w:r>
    </w:p>
    <w:p w:rsidR="004B2208" w:rsidRPr="004B2208" w:rsidRDefault="004B2208" w:rsidP="004B2208">
      <w:pPr>
        <w:numPr>
          <w:ilvl w:val="0"/>
          <w:numId w:val="15"/>
        </w:numPr>
        <w:jc w:val="both"/>
      </w:pPr>
      <w:r w:rsidRPr="004B2208">
        <w:t>Não é diagnóstica</w:t>
      </w:r>
    </w:p>
    <w:p w:rsidR="004B2208" w:rsidRPr="004B2208" w:rsidRDefault="004B2208" w:rsidP="004B2208">
      <w:pPr>
        <w:numPr>
          <w:ilvl w:val="0"/>
          <w:numId w:val="15"/>
        </w:numPr>
        <w:jc w:val="both"/>
      </w:pPr>
      <w:r w:rsidRPr="004B2208">
        <w:t>Não prediz resposta terapêutica</w:t>
      </w:r>
    </w:p>
    <w:p w:rsidR="004B2208" w:rsidRPr="004B2208" w:rsidRDefault="004B2208" w:rsidP="004B2208">
      <w:pPr>
        <w:numPr>
          <w:ilvl w:val="0"/>
          <w:numId w:val="15"/>
        </w:numPr>
        <w:jc w:val="both"/>
      </w:pPr>
      <w:r w:rsidRPr="004B2208">
        <w:t>Fundamental para diagnóstico diferencial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10. EXAMES COMPLEMENTARES</w:t>
      </w:r>
    </w:p>
    <w:p w:rsidR="004B2208" w:rsidRPr="004B2208" w:rsidRDefault="004B2208" w:rsidP="004B2208">
      <w:pPr>
        <w:jc w:val="both"/>
        <w:rPr>
          <w:b/>
          <w:bCs/>
        </w:rPr>
      </w:pPr>
      <w:proofErr w:type="gramStart"/>
      <w:r w:rsidRPr="004B2208">
        <w:rPr>
          <w:b/>
          <w:bCs/>
        </w:rPr>
        <w:t>10.1 Endoscopia</w:t>
      </w:r>
      <w:proofErr w:type="gramEnd"/>
      <w:r w:rsidRPr="004B2208">
        <w:rPr>
          <w:b/>
          <w:bCs/>
        </w:rPr>
        <w:t xml:space="preserve"> Digestiva Alta</w:t>
      </w:r>
    </w:p>
    <w:p w:rsidR="004B2208" w:rsidRPr="004B2208" w:rsidRDefault="004B2208" w:rsidP="004B2208">
      <w:pPr>
        <w:numPr>
          <w:ilvl w:val="0"/>
          <w:numId w:val="16"/>
        </w:numPr>
        <w:jc w:val="both"/>
      </w:pPr>
      <w:r w:rsidRPr="004B2208">
        <w:t>Avalia consequências do refluxo</w:t>
      </w:r>
    </w:p>
    <w:p w:rsidR="004B2208" w:rsidRPr="004B2208" w:rsidRDefault="004B2208" w:rsidP="004B2208">
      <w:pPr>
        <w:numPr>
          <w:ilvl w:val="0"/>
          <w:numId w:val="16"/>
        </w:numPr>
        <w:jc w:val="both"/>
      </w:pPr>
      <w:r w:rsidRPr="004B2208">
        <w:t>60% dos pacientes com sintomas típicos apresentam EDA normal</w:t>
      </w:r>
    </w:p>
    <w:p w:rsidR="004B2208" w:rsidRPr="004B2208" w:rsidRDefault="004B2208" w:rsidP="004B2208">
      <w:pPr>
        <w:numPr>
          <w:ilvl w:val="0"/>
          <w:numId w:val="16"/>
        </w:numPr>
        <w:jc w:val="both"/>
      </w:pPr>
      <w:r w:rsidRPr="004B2208">
        <w:t>Esofagite erosiva em ≈ 35%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 xml:space="preserve">10.2 </w:t>
      </w:r>
      <w:proofErr w:type="spellStart"/>
      <w:r w:rsidRPr="004B2208">
        <w:rPr>
          <w:b/>
          <w:bCs/>
        </w:rPr>
        <w:t>Esofagograma</w:t>
      </w:r>
      <w:proofErr w:type="spellEnd"/>
      <w:r w:rsidRPr="004B2208">
        <w:rPr>
          <w:b/>
          <w:bCs/>
        </w:rPr>
        <w:t xml:space="preserve"> Contrastado</w:t>
      </w:r>
    </w:p>
    <w:p w:rsidR="004B2208" w:rsidRPr="004B2208" w:rsidRDefault="004B2208" w:rsidP="004B2208">
      <w:pPr>
        <w:numPr>
          <w:ilvl w:val="0"/>
          <w:numId w:val="17"/>
        </w:numPr>
        <w:jc w:val="both"/>
      </w:pPr>
      <w:r w:rsidRPr="004B2208">
        <w:t>Útil no diagnóstico diferencial</w:t>
      </w:r>
    </w:p>
    <w:p w:rsidR="004B2208" w:rsidRPr="004B2208" w:rsidRDefault="004B2208" w:rsidP="004B2208">
      <w:pPr>
        <w:numPr>
          <w:ilvl w:val="0"/>
          <w:numId w:val="17"/>
        </w:numPr>
        <w:jc w:val="both"/>
      </w:pPr>
      <w:r w:rsidRPr="004B2208">
        <w:t xml:space="preserve">Avalia estenoses, dilatações e hérnia de </w:t>
      </w:r>
      <w:proofErr w:type="gramStart"/>
      <w:r w:rsidRPr="004B2208">
        <w:t>hiato</w:t>
      </w:r>
      <w:proofErr w:type="gramEnd"/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 xml:space="preserve">10.3 </w:t>
      </w:r>
      <w:proofErr w:type="spellStart"/>
      <w:proofErr w:type="gramStart"/>
      <w:r w:rsidRPr="004B2208">
        <w:rPr>
          <w:b/>
          <w:bCs/>
        </w:rPr>
        <w:t>pHmetria</w:t>
      </w:r>
      <w:proofErr w:type="spellEnd"/>
      <w:proofErr w:type="gramEnd"/>
      <w:r w:rsidRPr="004B2208">
        <w:rPr>
          <w:b/>
          <w:bCs/>
        </w:rPr>
        <w:t xml:space="preserve"> Esofágica Prolongada</w:t>
      </w:r>
    </w:p>
    <w:p w:rsidR="004B2208" w:rsidRPr="004B2208" w:rsidRDefault="004B2208" w:rsidP="004B2208">
      <w:pPr>
        <w:numPr>
          <w:ilvl w:val="0"/>
          <w:numId w:val="18"/>
        </w:numPr>
        <w:jc w:val="both"/>
      </w:pPr>
      <w:r w:rsidRPr="004B2208">
        <w:rPr>
          <w:b/>
          <w:bCs/>
        </w:rPr>
        <w:t>Padrão ouro</w:t>
      </w:r>
      <w:r w:rsidRPr="004B2208">
        <w:t xml:space="preserve"> para diagnóstico de DRGE</w:t>
      </w:r>
    </w:p>
    <w:p w:rsidR="004B2208" w:rsidRPr="004B2208" w:rsidRDefault="004B2208" w:rsidP="004B2208">
      <w:pPr>
        <w:numPr>
          <w:ilvl w:val="0"/>
          <w:numId w:val="18"/>
        </w:numPr>
        <w:jc w:val="both"/>
      </w:pPr>
      <w:r w:rsidRPr="004B2208">
        <w:t>Avalia AET</w:t>
      </w:r>
      <w:r w:rsidR="00AE17D6">
        <w:t xml:space="preserve"> (Tempo de Exposição Ácida)</w:t>
      </w:r>
      <w:r w:rsidRPr="004B2208">
        <w:t>:</w:t>
      </w:r>
    </w:p>
    <w:p w:rsidR="004B2208" w:rsidRPr="004B2208" w:rsidRDefault="004B2208" w:rsidP="004B2208">
      <w:pPr>
        <w:numPr>
          <w:ilvl w:val="1"/>
          <w:numId w:val="18"/>
        </w:numPr>
        <w:jc w:val="both"/>
      </w:pPr>
      <w:r w:rsidRPr="004B2208">
        <w:t>6% confirma DRGE</w:t>
      </w:r>
    </w:p>
    <w:p w:rsidR="004B2208" w:rsidRPr="004B2208" w:rsidRDefault="004B2208" w:rsidP="004B2208">
      <w:pPr>
        <w:numPr>
          <w:ilvl w:val="1"/>
          <w:numId w:val="18"/>
        </w:numPr>
        <w:jc w:val="both"/>
      </w:pPr>
      <w:r w:rsidRPr="004B2208">
        <w:t>&lt; 4% exclui DRGE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 xml:space="preserve">10.4 </w:t>
      </w:r>
      <w:proofErr w:type="spellStart"/>
      <w:r w:rsidRPr="004B2208">
        <w:rPr>
          <w:b/>
          <w:bCs/>
        </w:rPr>
        <w:t>Impedâncio-pHmetria</w:t>
      </w:r>
      <w:proofErr w:type="spellEnd"/>
    </w:p>
    <w:p w:rsidR="004B2208" w:rsidRPr="004B2208" w:rsidRDefault="004B2208" w:rsidP="004B2208">
      <w:pPr>
        <w:numPr>
          <w:ilvl w:val="0"/>
          <w:numId w:val="19"/>
        </w:numPr>
        <w:jc w:val="both"/>
      </w:pPr>
      <w:r w:rsidRPr="004B2208">
        <w:t xml:space="preserve">Avalia refluxo ácido, não ácido e </w:t>
      </w:r>
      <w:proofErr w:type="gramStart"/>
      <w:r w:rsidRPr="004B2208">
        <w:t>gasoso</w:t>
      </w:r>
      <w:proofErr w:type="gramEnd"/>
    </w:p>
    <w:p w:rsidR="004B2208" w:rsidRPr="004B2208" w:rsidRDefault="004B2208" w:rsidP="004B2208">
      <w:pPr>
        <w:numPr>
          <w:ilvl w:val="0"/>
          <w:numId w:val="19"/>
        </w:numPr>
        <w:jc w:val="both"/>
      </w:pPr>
      <w:r w:rsidRPr="004B2208">
        <w:t>Permite correlação sintoma–refluxo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 xml:space="preserve">10.5 </w:t>
      </w:r>
      <w:proofErr w:type="spellStart"/>
      <w:r w:rsidRPr="004B2208">
        <w:rPr>
          <w:b/>
          <w:bCs/>
        </w:rPr>
        <w:t>Manometria</w:t>
      </w:r>
      <w:proofErr w:type="spellEnd"/>
      <w:r w:rsidRPr="004B2208">
        <w:rPr>
          <w:b/>
          <w:bCs/>
        </w:rPr>
        <w:t xml:space="preserve"> Esofágica</w:t>
      </w:r>
    </w:p>
    <w:p w:rsidR="004B2208" w:rsidRPr="004B2208" w:rsidRDefault="004B2208" w:rsidP="004B2208">
      <w:pPr>
        <w:numPr>
          <w:ilvl w:val="0"/>
          <w:numId w:val="20"/>
        </w:numPr>
        <w:jc w:val="both"/>
      </w:pPr>
      <w:r w:rsidRPr="004B2208">
        <w:lastRenderedPageBreak/>
        <w:t>Avalia distúrbios motores</w:t>
      </w:r>
    </w:p>
    <w:p w:rsidR="004B2208" w:rsidRPr="004B2208" w:rsidRDefault="004B2208" w:rsidP="004B2208">
      <w:pPr>
        <w:numPr>
          <w:ilvl w:val="0"/>
          <w:numId w:val="20"/>
        </w:numPr>
        <w:jc w:val="both"/>
      </w:pPr>
      <w:r w:rsidRPr="004B2208">
        <w:t>Obrigatória antes de cirurgia antirrefluxo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 xml:space="preserve">10.6 </w:t>
      </w:r>
      <w:proofErr w:type="spellStart"/>
      <w:r w:rsidRPr="004B2208">
        <w:rPr>
          <w:b/>
          <w:bCs/>
        </w:rPr>
        <w:t>Manometria</w:t>
      </w:r>
      <w:proofErr w:type="spellEnd"/>
      <w:r w:rsidRPr="004B2208">
        <w:rPr>
          <w:b/>
          <w:bCs/>
        </w:rPr>
        <w:t xml:space="preserve"> de Alta Resolução</w:t>
      </w:r>
    </w:p>
    <w:p w:rsidR="004B2208" w:rsidRPr="004B2208" w:rsidRDefault="004B2208" w:rsidP="004B2208">
      <w:pPr>
        <w:numPr>
          <w:ilvl w:val="0"/>
          <w:numId w:val="21"/>
        </w:numPr>
        <w:jc w:val="both"/>
      </w:pPr>
      <w:r w:rsidRPr="004B2208">
        <w:t>Avalia EEI e JEG com alta precisão</w:t>
      </w:r>
    </w:p>
    <w:p w:rsidR="004B2208" w:rsidRPr="004B2208" w:rsidRDefault="004B2208" w:rsidP="004B2208">
      <w:pPr>
        <w:numPr>
          <w:ilvl w:val="0"/>
          <w:numId w:val="21"/>
        </w:numPr>
        <w:jc w:val="both"/>
      </w:pPr>
      <w:r w:rsidRPr="004B2208">
        <w:t>Melhor método para diagnóstico de hérnia de hiato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11. SCORES DIAGNÓSTICOS</w:t>
      </w:r>
    </w:p>
    <w:p w:rsidR="004B2208" w:rsidRPr="004B2208" w:rsidRDefault="004B2208" w:rsidP="004B2208">
      <w:pPr>
        <w:numPr>
          <w:ilvl w:val="0"/>
          <w:numId w:val="22"/>
        </w:numPr>
        <w:jc w:val="both"/>
      </w:pPr>
      <w:proofErr w:type="spellStart"/>
      <w:r w:rsidRPr="004B2208">
        <w:rPr>
          <w:b/>
          <w:bCs/>
        </w:rPr>
        <w:t>Score</w:t>
      </w:r>
      <w:proofErr w:type="spellEnd"/>
      <w:r w:rsidRPr="004B2208">
        <w:rPr>
          <w:b/>
          <w:bCs/>
        </w:rPr>
        <w:t xml:space="preserve"> de Lyon:</w:t>
      </w:r>
      <w:r w:rsidRPr="004B2208">
        <w:t xml:space="preserve"> consequências do refluxo</w:t>
      </w:r>
    </w:p>
    <w:p w:rsidR="004B2208" w:rsidRPr="004B2208" w:rsidRDefault="004B2208" w:rsidP="004B2208">
      <w:pPr>
        <w:numPr>
          <w:ilvl w:val="0"/>
          <w:numId w:val="22"/>
        </w:numPr>
        <w:jc w:val="both"/>
      </w:pPr>
      <w:proofErr w:type="spellStart"/>
      <w:r w:rsidRPr="004B2208">
        <w:rPr>
          <w:b/>
          <w:bCs/>
        </w:rPr>
        <w:t>Score</w:t>
      </w:r>
      <w:proofErr w:type="spellEnd"/>
      <w:r w:rsidRPr="004B2208">
        <w:rPr>
          <w:b/>
          <w:bCs/>
        </w:rPr>
        <w:t xml:space="preserve"> de Milão:</w:t>
      </w:r>
      <w:r w:rsidRPr="004B2208">
        <w:t xml:space="preserve"> falha da barreira antirrefluxo</w:t>
      </w:r>
    </w:p>
    <w:p w:rsidR="004B2208" w:rsidRDefault="004B2208" w:rsidP="004B2208">
      <w:pPr>
        <w:numPr>
          <w:ilvl w:val="0"/>
          <w:numId w:val="22"/>
        </w:numPr>
        <w:jc w:val="both"/>
      </w:pPr>
      <w:r w:rsidRPr="004B2208">
        <w:t>Ambos validados internacionalmente</w:t>
      </w:r>
    </w:p>
    <w:p w:rsidR="00AE17D6" w:rsidRPr="004B2208" w:rsidRDefault="00AE17D6" w:rsidP="00AE17D6">
      <w:pPr>
        <w:ind w:left="720"/>
        <w:jc w:val="both"/>
      </w:pPr>
      <w:r w:rsidRPr="00AE17D6">
        <w:drawing>
          <wp:inline distT="0" distB="0" distL="0" distR="0">
            <wp:extent cx="5400040" cy="2771507"/>
            <wp:effectExtent l="19050" t="0" r="0" b="0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1507"/>
                    </a:xfrm>
                    <a:prstGeom prst="roundRect">
                      <a:avLst>
                        <a:gd name="adj" fmla="val 2253"/>
                      </a:avLst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12. TRATAMENTO DA DRGE</w:t>
      </w: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12.1 Objetivos</w:t>
      </w:r>
    </w:p>
    <w:p w:rsidR="004B2208" w:rsidRPr="004B2208" w:rsidRDefault="004B2208" w:rsidP="004B2208">
      <w:pPr>
        <w:numPr>
          <w:ilvl w:val="0"/>
          <w:numId w:val="23"/>
        </w:numPr>
        <w:jc w:val="both"/>
      </w:pPr>
      <w:r w:rsidRPr="004B2208">
        <w:t>Controle dos sintomas</w:t>
      </w:r>
    </w:p>
    <w:p w:rsidR="004B2208" w:rsidRPr="004B2208" w:rsidRDefault="004B2208" w:rsidP="004B2208">
      <w:pPr>
        <w:numPr>
          <w:ilvl w:val="0"/>
          <w:numId w:val="23"/>
        </w:numPr>
        <w:jc w:val="both"/>
      </w:pPr>
      <w:r w:rsidRPr="004B2208">
        <w:t>Cicatrização da mucosa</w:t>
      </w:r>
    </w:p>
    <w:p w:rsidR="004B2208" w:rsidRPr="004B2208" w:rsidRDefault="004B2208" w:rsidP="004B2208">
      <w:pPr>
        <w:numPr>
          <w:ilvl w:val="0"/>
          <w:numId w:val="23"/>
        </w:numPr>
        <w:jc w:val="both"/>
      </w:pPr>
      <w:r w:rsidRPr="004B2208">
        <w:t>Manutenção da remissão</w:t>
      </w:r>
    </w:p>
    <w:p w:rsidR="004B2208" w:rsidRPr="004B2208" w:rsidRDefault="004B2208" w:rsidP="004B2208">
      <w:pPr>
        <w:numPr>
          <w:ilvl w:val="0"/>
          <w:numId w:val="23"/>
        </w:numPr>
        <w:jc w:val="both"/>
      </w:pPr>
      <w:r w:rsidRPr="004B2208">
        <w:t>Prevenção de complicações</w:t>
      </w:r>
    </w:p>
    <w:p w:rsidR="004B2208" w:rsidRPr="004B2208" w:rsidRDefault="004B2208" w:rsidP="004B2208">
      <w:pPr>
        <w:jc w:val="both"/>
        <w:rPr>
          <w:b/>
          <w:bCs/>
        </w:rPr>
      </w:pPr>
      <w:proofErr w:type="gramStart"/>
      <w:r w:rsidRPr="004B2208">
        <w:rPr>
          <w:b/>
          <w:bCs/>
        </w:rPr>
        <w:t>12.2 Tratamento</w:t>
      </w:r>
      <w:proofErr w:type="gramEnd"/>
      <w:r w:rsidRPr="004B2208">
        <w:rPr>
          <w:b/>
          <w:bCs/>
        </w:rPr>
        <w:t xml:space="preserve"> Clínico</w:t>
      </w:r>
    </w:p>
    <w:p w:rsidR="004B2208" w:rsidRPr="004B2208" w:rsidRDefault="004B2208" w:rsidP="004B2208">
      <w:pPr>
        <w:numPr>
          <w:ilvl w:val="0"/>
          <w:numId w:val="24"/>
        </w:numPr>
        <w:jc w:val="both"/>
      </w:pPr>
      <w:r w:rsidRPr="004B2208">
        <w:t>Medidas comportamentais</w:t>
      </w:r>
    </w:p>
    <w:p w:rsidR="004B2208" w:rsidRPr="004B2208" w:rsidRDefault="004B2208" w:rsidP="004B2208">
      <w:pPr>
        <w:numPr>
          <w:ilvl w:val="0"/>
          <w:numId w:val="24"/>
        </w:numPr>
        <w:jc w:val="both"/>
      </w:pPr>
      <w:proofErr w:type="spellStart"/>
      <w:r w:rsidRPr="004B2208">
        <w:t>IBPs</w:t>
      </w:r>
      <w:proofErr w:type="spellEnd"/>
      <w:r w:rsidRPr="004B2208">
        <w:t xml:space="preserve"> (</w:t>
      </w:r>
      <w:proofErr w:type="gramStart"/>
      <w:r w:rsidRPr="004B2208">
        <w:t>8</w:t>
      </w:r>
      <w:proofErr w:type="gramEnd"/>
      <w:r w:rsidRPr="004B2208">
        <w:t xml:space="preserve"> semanas; dose dobrada em casos selecionados)</w:t>
      </w:r>
    </w:p>
    <w:p w:rsidR="004B2208" w:rsidRPr="004B2208" w:rsidRDefault="004B2208" w:rsidP="004B2208">
      <w:pPr>
        <w:numPr>
          <w:ilvl w:val="0"/>
          <w:numId w:val="24"/>
        </w:numPr>
        <w:jc w:val="both"/>
      </w:pPr>
      <w:proofErr w:type="spellStart"/>
      <w:r w:rsidRPr="004B2208">
        <w:lastRenderedPageBreak/>
        <w:t>PCABs</w:t>
      </w:r>
      <w:proofErr w:type="spellEnd"/>
      <w:r w:rsidRPr="004B2208">
        <w:t xml:space="preserve"> (</w:t>
      </w:r>
      <w:proofErr w:type="spellStart"/>
      <w:r w:rsidRPr="004B2208">
        <w:t>Vonoprazana</w:t>
      </w:r>
      <w:proofErr w:type="spellEnd"/>
      <w:r w:rsidRPr="004B2208">
        <w:t>)</w:t>
      </w:r>
    </w:p>
    <w:p w:rsidR="004B2208" w:rsidRPr="004B2208" w:rsidRDefault="004B2208" w:rsidP="004B2208">
      <w:pPr>
        <w:numPr>
          <w:ilvl w:val="0"/>
          <w:numId w:val="24"/>
        </w:numPr>
        <w:jc w:val="both"/>
      </w:pPr>
      <w:proofErr w:type="spellStart"/>
      <w:r w:rsidRPr="004B2208">
        <w:t>Alginatos</w:t>
      </w:r>
      <w:proofErr w:type="spellEnd"/>
    </w:p>
    <w:p w:rsidR="004B2208" w:rsidRPr="004B2208" w:rsidRDefault="004B2208" w:rsidP="004B2208">
      <w:pPr>
        <w:numPr>
          <w:ilvl w:val="0"/>
          <w:numId w:val="24"/>
        </w:numPr>
        <w:jc w:val="both"/>
      </w:pPr>
      <w:r w:rsidRPr="004B2208">
        <w:t>Neuromoduladores nos fenótipos funcionais</w:t>
      </w:r>
    </w:p>
    <w:p w:rsidR="004B2208" w:rsidRPr="004B2208" w:rsidRDefault="004B2208" w:rsidP="004B2208">
      <w:pPr>
        <w:jc w:val="both"/>
        <w:rPr>
          <w:b/>
          <w:bCs/>
        </w:rPr>
      </w:pPr>
      <w:proofErr w:type="gramStart"/>
      <w:r w:rsidRPr="004B2208">
        <w:rPr>
          <w:b/>
          <w:bCs/>
        </w:rPr>
        <w:t>12.3 Tratamento</w:t>
      </w:r>
      <w:proofErr w:type="gramEnd"/>
      <w:r w:rsidRPr="004B2208">
        <w:rPr>
          <w:b/>
          <w:bCs/>
        </w:rPr>
        <w:t xml:space="preserve"> Cirúrgico – Indicações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r w:rsidRPr="004B2208">
        <w:t>Esofagite grave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proofErr w:type="spellStart"/>
      <w:r w:rsidRPr="004B2208">
        <w:t>Barrett</w:t>
      </w:r>
      <w:proofErr w:type="spellEnd"/>
      <w:r w:rsidRPr="004B2208">
        <w:t xml:space="preserve"> longo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r w:rsidRPr="004B2208">
        <w:t>Hérnia de hiato sintomática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r w:rsidRPr="004B2208">
        <w:t>Estenose péptica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proofErr w:type="spellStart"/>
      <w:r w:rsidRPr="004B2208">
        <w:t>Refratariedade</w:t>
      </w:r>
      <w:proofErr w:type="spellEnd"/>
      <w:r w:rsidRPr="004B2208">
        <w:t xml:space="preserve"> clínica</w:t>
      </w:r>
    </w:p>
    <w:p w:rsidR="004B2208" w:rsidRPr="004B2208" w:rsidRDefault="004B2208" w:rsidP="004B2208">
      <w:pPr>
        <w:numPr>
          <w:ilvl w:val="0"/>
          <w:numId w:val="25"/>
        </w:numPr>
        <w:jc w:val="both"/>
      </w:pPr>
      <w:r w:rsidRPr="004B2208">
        <w:t>Preferência do paciente</w:t>
      </w:r>
    </w:p>
    <w:p w:rsidR="004B2208" w:rsidRPr="004B2208" w:rsidRDefault="004B2208" w:rsidP="004B2208">
      <w:pPr>
        <w:jc w:val="both"/>
      </w:pPr>
      <w:r w:rsidRPr="004B2208">
        <w:rPr>
          <w:rFonts w:ascii="MS Gothic" w:eastAsia="MS Gothic" w:hAnsi="MS Gothic" w:cs="MS Gothic" w:hint="eastAsia"/>
        </w:rPr>
        <w:t>➡</w:t>
      </w:r>
      <w:r w:rsidRPr="004B2208">
        <w:t xml:space="preserve"> Melhores resultados: pacientes com sintomas típicos e boa resposta prévia aos </w:t>
      </w:r>
      <w:proofErr w:type="spellStart"/>
      <w:r w:rsidRPr="004B2208">
        <w:t>IBPs</w:t>
      </w:r>
      <w:proofErr w:type="spellEnd"/>
      <w:r w:rsidRPr="004B2208">
        <w:t>.</w:t>
      </w:r>
    </w:p>
    <w:p w:rsidR="004B2208" w:rsidRPr="004B2208" w:rsidRDefault="004B2208" w:rsidP="004B2208">
      <w:pPr>
        <w:jc w:val="both"/>
      </w:pPr>
    </w:p>
    <w:p w:rsidR="004B2208" w:rsidRPr="004B2208" w:rsidRDefault="004B2208" w:rsidP="004B2208">
      <w:pPr>
        <w:jc w:val="both"/>
        <w:rPr>
          <w:b/>
          <w:bCs/>
        </w:rPr>
      </w:pPr>
      <w:r w:rsidRPr="004B2208">
        <w:rPr>
          <w:b/>
          <w:bCs/>
        </w:rPr>
        <w:t>13. CONCLUSÃO</w:t>
      </w:r>
    </w:p>
    <w:p w:rsidR="004B2208" w:rsidRPr="004B2208" w:rsidRDefault="004B2208" w:rsidP="004B2208">
      <w:pPr>
        <w:numPr>
          <w:ilvl w:val="0"/>
          <w:numId w:val="26"/>
        </w:numPr>
        <w:jc w:val="both"/>
      </w:pPr>
      <w:r w:rsidRPr="004B2208">
        <w:t>A DRGE é uma doença prevalente, heterogênea e multifatorial.</w:t>
      </w:r>
    </w:p>
    <w:p w:rsidR="004B2208" w:rsidRPr="004B2208" w:rsidRDefault="004B2208" w:rsidP="004B2208">
      <w:pPr>
        <w:numPr>
          <w:ilvl w:val="0"/>
          <w:numId w:val="26"/>
        </w:numPr>
        <w:jc w:val="both"/>
      </w:pPr>
      <w:r w:rsidRPr="004B2208">
        <w:t>O diagnóstico clínico isolado é insuficiente.</w:t>
      </w:r>
    </w:p>
    <w:p w:rsidR="004B2208" w:rsidRPr="004B2208" w:rsidRDefault="004B2208" w:rsidP="004B2208">
      <w:pPr>
        <w:numPr>
          <w:ilvl w:val="0"/>
          <w:numId w:val="26"/>
        </w:numPr>
        <w:jc w:val="both"/>
      </w:pPr>
      <w:r w:rsidRPr="004B2208">
        <w:t xml:space="preserve">A correta </w:t>
      </w:r>
      <w:proofErr w:type="spellStart"/>
      <w:r w:rsidRPr="004B2208">
        <w:t>fenotipagem</w:t>
      </w:r>
      <w:proofErr w:type="spellEnd"/>
      <w:r w:rsidRPr="004B2208">
        <w:t xml:space="preserve"> orienta o tratamento individualizado.</w:t>
      </w:r>
    </w:p>
    <w:p w:rsidR="004B2208" w:rsidRPr="004B2208" w:rsidRDefault="004B2208" w:rsidP="004B2208">
      <w:pPr>
        <w:numPr>
          <w:ilvl w:val="0"/>
          <w:numId w:val="26"/>
        </w:numPr>
        <w:jc w:val="both"/>
      </w:pPr>
      <w:r w:rsidRPr="004B2208">
        <w:t>Exames funcionais são fundamentais para evitar erros diagnósticos e terapêuticos.</w:t>
      </w:r>
    </w:p>
    <w:p w:rsidR="00B86F77" w:rsidRDefault="00B86F77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p w:rsidR="004B2208" w:rsidRDefault="004B2208" w:rsidP="004B2208">
      <w:pPr>
        <w:jc w:val="both"/>
      </w:pPr>
    </w:p>
    <w:sectPr w:rsidR="004B2208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717E3"/>
    <w:multiLevelType w:val="multilevel"/>
    <w:tmpl w:val="1EA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53132"/>
    <w:multiLevelType w:val="multilevel"/>
    <w:tmpl w:val="170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F3F49"/>
    <w:multiLevelType w:val="multilevel"/>
    <w:tmpl w:val="412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B4A25"/>
    <w:multiLevelType w:val="multilevel"/>
    <w:tmpl w:val="473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B41BA"/>
    <w:multiLevelType w:val="multilevel"/>
    <w:tmpl w:val="831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A45E97"/>
    <w:multiLevelType w:val="multilevel"/>
    <w:tmpl w:val="FE7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43457B"/>
    <w:multiLevelType w:val="multilevel"/>
    <w:tmpl w:val="716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817AEE"/>
    <w:multiLevelType w:val="multilevel"/>
    <w:tmpl w:val="9B0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E63569"/>
    <w:multiLevelType w:val="multilevel"/>
    <w:tmpl w:val="55A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8634E9"/>
    <w:multiLevelType w:val="multilevel"/>
    <w:tmpl w:val="240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DF481C"/>
    <w:multiLevelType w:val="multilevel"/>
    <w:tmpl w:val="37D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3C2BE5"/>
    <w:multiLevelType w:val="multilevel"/>
    <w:tmpl w:val="458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173C82"/>
    <w:multiLevelType w:val="multilevel"/>
    <w:tmpl w:val="FA2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CE658C"/>
    <w:multiLevelType w:val="multilevel"/>
    <w:tmpl w:val="152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680479"/>
    <w:multiLevelType w:val="multilevel"/>
    <w:tmpl w:val="A7B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6F4FC4"/>
    <w:multiLevelType w:val="multilevel"/>
    <w:tmpl w:val="A63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3F3438"/>
    <w:multiLevelType w:val="multilevel"/>
    <w:tmpl w:val="069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DD6D89"/>
    <w:multiLevelType w:val="multilevel"/>
    <w:tmpl w:val="F5F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F832B2"/>
    <w:multiLevelType w:val="multilevel"/>
    <w:tmpl w:val="326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4A491A"/>
    <w:multiLevelType w:val="multilevel"/>
    <w:tmpl w:val="7B9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6D47CF"/>
    <w:multiLevelType w:val="multilevel"/>
    <w:tmpl w:val="111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A77D13"/>
    <w:multiLevelType w:val="multilevel"/>
    <w:tmpl w:val="41C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2545B9"/>
    <w:multiLevelType w:val="multilevel"/>
    <w:tmpl w:val="1F7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B550F4"/>
    <w:multiLevelType w:val="multilevel"/>
    <w:tmpl w:val="C8C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4E068C"/>
    <w:multiLevelType w:val="multilevel"/>
    <w:tmpl w:val="9C1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B11B16"/>
    <w:multiLevelType w:val="multilevel"/>
    <w:tmpl w:val="BE5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5"/>
  </w:num>
  <w:num w:numId="4">
    <w:abstractNumId w:val="11"/>
  </w:num>
  <w:num w:numId="5">
    <w:abstractNumId w:val="10"/>
  </w:num>
  <w:num w:numId="6">
    <w:abstractNumId w:val="25"/>
  </w:num>
  <w:num w:numId="7">
    <w:abstractNumId w:val="3"/>
  </w:num>
  <w:num w:numId="8">
    <w:abstractNumId w:val="18"/>
  </w:num>
  <w:num w:numId="9">
    <w:abstractNumId w:val="12"/>
  </w:num>
  <w:num w:numId="10">
    <w:abstractNumId w:val="21"/>
  </w:num>
  <w:num w:numId="11">
    <w:abstractNumId w:val="22"/>
  </w:num>
  <w:num w:numId="12">
    <w:abstractNumId w:val="23"/>
  </w:num>
  <w:num w:numId="13">
    <w:abstractNumId w:val="0"/>
  </w:num>
  <w:num w:numId="14">
    <w:abstractNumId w:val="8"/>
  </w:num>
  <w:num w:numId="15">
    <w:abstractNumId w:val="5"/>
  </w:num>
  <w:num w:numId="16">
    <w:abstractNumId w:val="24"/>
  </w:num>
  <w:num w:numId="17">
    <w:abstractNumId w:val="9"/>
  </w:num>
  <w:num w:numId="18">
    <w:abstractNumId w:val="17"/>
  </w:num>
  <w:num w:numId="19">
    <w:abstractNumId w:val="2"/>
  </w:num>
  <w:num w:numId="20">
    <w:abstractNumId w:val="14"/>
  </w:num>
  <w:num w:numId="21">
    <w:abstractNumId w:val="13"/>
  </w:num>
  <w:num w:numId="22">
    <w:abstractNumId w:val="16"/>
  </w:num>
  <w:num w:numId="23">
    <w:abstractNumId w:val="19"/>
  </w:num>
  <w:num w:numId="24">
    <w:abstractNumId w:val="6"/>
  </w:num>
  <w:num w:numId="25">
    <w:abstractNumId w:val="7"/>
  </w:num>
  <w:num w:numId="26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4B2208"/>
    <w:rsid w:val="004B2208"/>
    <w:rsid w:val="00A80077"/>
    <w:rsid w:val="00AE17D6"/>
    <w:rsid w:val="00B86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E1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17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818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2</cp:revision>
  <dcterms:created xsi:type="dcterms:W3CDTF">2025-12-18T20:45:00Z</dcterms:created>
  <dcterms:modified xsi:type="dcterms:W3CDTF">2025-12-18T20:45:00Z</dcterms:modified>
</cp:coreProperties>
</file>