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5B65" w:rsidRPr="0053109D" w:rsidRDefault="0053109D" w:rsidP="0053109D">
      <w:pPr>
        <w:jc w:val="center"/>
        <w:rPr>
          <w:b/>
        </w:rPr>
      </w:pPr>
      <w:r w:rsidRPr="0053109D">
        <w:rPr>
          <w:b/>
        </w:rPr>
        <w:t>ISQUEMIA MESENTÉRICA</w:t>
      </w:r>
    </w:p>
    <w:p w:rsidR="0053109D" w:rsidRPr="0053109D" w:rsidRDefault="0053109D" w:rsidP="0053109D">
      <w:pPr>
        <w:jc w:val="both"/>
      </w:pPr>
      <w:r>
        <w:t xml:space="preserve">   </w:t>
      </w:r>
      <w:r w:rsidRPr="0053109D">
        <w:t xml:space="preserve">A isquemia mesentérica aguda resulta da interrupção súbita do suprimento sanguíneo ao intestino, levando a dano celular, necrose intestinal e, frequentemente, ao óbito caso não seja tratada oportunamente. </w:t>
      </w:r>
      <w:r>
        <w:t>P</w:t>
      </w:r>
      <w:r w:rsidRPr="0053109D">
        <w:t xml:space="preserve">ode ser classificada em </w:t>
      </w:r>
      <w:r w:rsidRPr="0053109D">
        <w:rPr>
          <w:b/>
          <w:bCs/>
        </w:rPr>
        <w:t>oclusiva</w:t>
      </w:r>
      <w:r w:rsidRPr="0053109D">
        <w:t xml:space="preserve"> ou </w:t>
      </w:r>
      <w:r w:rsidRPr="0053109D">
        <w:rPr>
          <w:b/>
          <w:bCs/>
        </w:rPr>
        <w:t>não oclusiva</w:t>
      </w:r>
      <w:r w:rsidRPr="0053109D">
        <w:t xml:space="preserve">, sendo sua etiologia principal subdividida em </w:t>
      </w:r>
      <w:r w:rsidRPr="0053109D">
        <w:rPr>
          <w:b/>
          <w:bCs/>
        </w:rPr>
        <w:t>embolia da artéria mesentérica superior (50%)</w:t>
      </w:r>
      <w:r w:rsidRPr="0053109D">
        <w:t xml:space="preserve">, </w:t>
      </w:r>
      <w:r w:rsidRPr="0053109D">
        <w:rPr>
          <w:b/>
          <w:bCs/>
        </w:rPr>
        <w:t>trombose arterial mesentérica (15–25%)</w:t>
      </w:r>
      <w:r w:rsidRPr="0053109D">
        <w:t xml:space="preserve"> ou </w:t>
      </w:r>
      <w:r w:rsidRPr="0053109D">
        <w:rPr>
          <w:b/>
          <w:bCs/>
        </w:rPr>
        <w:t>trombose venosa mesentérica (5–15%)</w:t>
      </w:r>
      <w:r w:rsidRPr="0053109D">
        <w:t>.</w:t>
      </w:r>
    </w:p>
    <w:p w:rsidR="0053109D" w:rsidRPr="0053109D" w:rsidRDefault="0053109D" w:rsidP="0053109D">
      <w:pPr>
        <w:jc w:val="both"/>
      </w:pPr>
      <w:r>
        <w:t xml:space="preserve">   Sua incidência geral é </w:t>
      </w:r>
      <w:r w:rsidRPr="0053109D">
        <w:t xml:space="preserve">baixa — variando entre </w:t>
      </w:r>
      <w:r w:rsidRPr="0053109D">
        <w:rPr>
          <w:b/>
          <w:bCs/>
        </w:rPr>
        <w:t>0,09% e 0,2% de todas as admissões emergenciais</w:t>
      </w:r>
      <w:r>
        <w:t xml:space="preserve"> —</w:t>
      </w:r>
      <w:r w:rsidRPr="0053109D">
        <w:t xml:space="preserve"> </w:t>
      </w:r>
      <w:r>
        <w:t xml:space="preserve">e </w:t>
      </w:r>
      <w:r w:rsidRPr="0053109D">
        <w:t>representa uma causa i</w:t>
      </w:r>
      <w:r>
        <w:t>ncomum de dor abdominal</w:t>
      </w:r>
      <w:r w:rsidRPr="0053109D">
        <w:t xml:space="preserve">, mas é um dos motivos mais frequentes de ressecção intestinal em caráter emergencial. O diagnóstico e o tratamento precoces são essenciais para reduzir a mortalidade, que ultrapassa </w:t>
      </w:r>
      <w:r w:rsidRPr="0053109D">
        <w:rPr>
          <w:b/>
          <w:bCs/>
        </w:rPr>
        <w:t>50%</w:t>
      </w:r>
      <w:r w:rsidRPr="0053109D">
        <w:t>.</w:t>
      </w:r>
    </w:p>
    <w:p w:rsidR="0053109D" w:rsidRPr="0053109D" w:rsidRDefault="0053109D" w:rsidP="0053109D">
      <w:pPr>
        <w:jc w:val="both"/>
      </w:pPr>
      <w:r>
        <w:t xml:space="preserve">   </w:t>
      </w:r>
      <w:r w:rsidRPr="0053109D">
        <w:t xml:space="preserve">Tradicionalmente, o tratamento da </w:t>
      </w:r>
      <w:r>
        <w:t>isquemia mesentérica</w:t>
      </w:r>
      <w:r w:rsidRPr="0053109D">
        <w:t xml:space="preserve"> era realizado por meio de cirurgia aberta. Nas últimas duas décadas, entretanto, o rápido desenvolvimento das técnicas endovasculares consolidou esse método como alternativa relevante para pacientes com oclusão da ar</w:t>
      </w:r>
      <w:r>
        <w:t>téria mesentérica superior</w:t>
      </w:r>
      <w:r w:rsidRPr="0053109D">
        <w:t xml:space="preserve">. Alguns estudos demonstram que a abordagem endovascular está associada a </w:t>
      </w:r>
      <w:r w:rsidRPr="0053109D">
        <w:rPr>
          <w:b/>
          <w:bCs/>
        </w:rPr>
        <w:t>menores taxas de mortalidade e de ressecção intestinal</w:t>
      </w:r>
      <w:r w:rsidRPr="0053109D">
        <w:t xml:space="preserve"> quando comparada à cir</w:t>
      </w:r>
      <w:r>
        <w:t>urgia aberta tradicional</w:t>
      </w:r>
      <w:r w:rsidRPr="0053109D">
        <w:t>.</w:t>
      </w:r>
    </w:p>
    <w:p w:rsidR="0053109D" w:rsidRDefault="0053109D" w:rsidP="0053109D">
      <w:pPr>
        <w:jc w:val="both"/>
      </w:pPr>
      <w:r>
        <w:t xml:space="preserve">   </w:t>
      </w:r>
      <w:r w:rsidRPr="0053109D">
        <w:t xml:space="preserve">A </w:t>
      </w:r>
      <w:proofErr w:type="gramStart"/>
      <w:r w:rsidRPr="0053109D">
        <w:t>implementação</w:t>
      </w:r>
      <w:proofErr w:type="gramEnd"/>
      <w:r w:rsidRPr="0053109D">
        <w:t xml:space="preserve"> de </w:t>
      </w:r>
      <w:r w:rsidRPr="0053109D">
        <w:rPr>
          <w:b/>
          <w:bCs/>
        </w:rPr>
        <w:t>protocolos clínicos estruturados</w:t>
      </w:r>
      <w:r w:rsidRPr="0053109D">
        <w:t xml:space="preserve"> e a criação de </w:t>
      </w:r>
      <w:r w:rsidRPr="0053109D">
        <w:rPr>
          <w:b/>
          <w:bCs/>
        </w:rPr>
        <w:t>centros de referência</w:t>
      </w:r>
      <w:r w:rsidRPr="0053109D">
        <w:t xml:space="preserve"> aumentam a conscientização sobre a IMA, favorecem a realização de exames de imagem adequados, reduzem atrasos no diagnóstico, ampliam o número de revascularizações e, consequentemente</w:t>
      </w:r>
      <w:r>
        <w:t>, diminuem a mortalidade</w:t>
      </w:r>
      <w:r w:rsidRPr="0053109D">
        <w:t>.</w:t>
      </w:r>
    </w:p>
    <w:p w:rsidR="000D346F" w:rsidRPr="0053109D" w:rsidRDefault="000D346F" w:rsidP="0053109D">
      <w:pPr>
        <w:jc w:val="both"/>
      </w:pPr>
      <w:r>
        <w:t xml:space="preserve">   A </w:t>
      </w:r>
      <w:r w:rsidRPr="000D346F">
        <w:rPr>
          <w:b/>
        </w:rPr>
        <w:t>embolia aguda de artéria mesentérica</w:t>
      </w:r>
      <w:r>
        <w:t xml:space="preserve"> representa cerca de </w:t>
      </w:r>
      <w:r>
        <w:rPr>
          <w:rStyle w:val="Forte"/>
        </w:rPr>
        <w:t>50% dos casos</w:t>
      </w:r>
      <w:r>
        <w:t xml:space="preserve">. Os êmbolos mesentéricos podem originar-se do </w:t>
      </w:r>
      <w:r>
        <w:rPr>
          <w:rStyle w:val="Forte"/>
        </w:rPr>
        <w:t>átrio esquerdo</w:t>
      </w:r>
      <w:r>
        <w:t xml:space="preserve"> (</w:t>
      </w:r>
      <w:proofErr w:type="spellStart"/>
      <w:r>
        <w:t>fibrilação</w:t>
      </w:r>
      <w:proofErr w:type="spellEnd"/>
      <w:r>
        <w:t xml:space="preserve"> atrial), do </w:t>
      </w:r>
      <w:r>
        <w:rPr>
          <w:rStyle w:val="Forte"/>
        </w:rPr>
        <w:t>ventrículo esquerdo</w:t>
      </w:r>
      <w:r>
        <w:t xml:space="preserve"> (disfunção ventricular esquerda com baixa fração de ejeção) ou das </w:t>
      </w:r>
      <w:r>
        <w:rPr>
          <w:rStyle w:val="Forte"/>
        </w:rPr>
        <w:t>valvas cardíacas</w:t>
      </w:r>
      <w:r>
        <w:t xml:space="preserve"> (endocardite). </w:t>
      </w:r>
      <w:r w:rsidRPr="000D346F">
        <w:t xml:space="preserve">Os êmbolos tendem a impactar-se em áreas de </w:t>
      </w:r>
      <w:r w:rsidRPr="000D346F">
        <w:rPr>
          <w:b/>
          <w:bCs/>
        </w:rPr>
        <w:t>estreitamentos anatômicos naturais</w:t>
      </w:r>
      <w:r w:rsidRPr="000D346F">
        <w:t>.</w:t>
      </w:r>
      <w:r>
        <w:t xml:space="preserve"> A artéria mesentérica superior é particularmente suscetível devido ao seu diâmetro relativamente amplo e ao ângulo de emergência reduzido a partir da aorta. A maioria dos êmbolos se impacta entre </w:t>
      </w:r>
      <w:proofErr w:type="gramStart"/>
      <w:r>
        <w:rPr>
          <w:rStyle w:val="Forte"/>
        </w:rPr>
        <w:t>3</w:t>
      </w:r>
      <w:proofErr w:type="gramEnd"/>
      <w:r>
        <w:rPr>
          <w:rStyle w:val="Forte"/>
        </w:rPr>
        <w:t xml:space="preserve"> e 10 cm</w:t>
      </w:r>
      <w:r>
        <w:t xml:space="preserve"> distalmente à origem da AMS, poupando, portanto, o jejuno proximal e o cólon.</w:t>
      </w:r>
    </w:p>
    <w:p w:rsidR="00D3623F" w:rsidRPr="0053109D" w:rsidRDefault="00D3623F" w:rsidP="0053109D">
      <w:pPr>
        <w:jc w:val="both"/>
      </w:pPr>
      <w:r>
        <w:t xml:space="preserve"> A </w:t>
      </w:r>
      <w:r w:rsidRPr="00D3623F">
        <w:rPr>
          <w:b/>
        </w:rPr>
        <w:t>trombose aguda da artéria mesentérica</w:t>
      </w:r>
      <w:r>
        <w:t xml:space="preserve">, </w:t>
      </w:r>
      <w:proofErr w:type="gramStart"/>
      <w:r>
        <w:t>cerca de 25</w:t>
      </w:r>
      <w:proofErr w:type="gramEnd"/>
      <w:r>
        <w:t xml:space="preserve">% dos casos, </w:t>
      </w:r>
      <w:r w:rsidRPr="00D3623F">
        <w:t>geralmente está associada à doença aterosclerótica crônica pré-existente, que leva à estenose progressiva.</w:t>
      </w:r>
      <w:r>
        <w:t xml:space="preserve"> </w:t>
      </w:r>
      <w:r w:rsidRPr="00D3623F">
        <w:t>Muitos desses pacientes apresentam história clínica compatível com is</w:t>
      </w:r>
      <w:r>
        <w:t>quemia mesentérica crônica</w:t>
      </w:r>
      <w:r w:rsidRPr="00D3623F">
        <w:t>, incluindo dor pós-prandial, perda de peso ou “medo de comer”.</w:t>
      </w:r>
      <w:r>
        <w:t xml:space="preserve"> Embolizações tendem a se alojar em pontos de estreitamento anatômico normal das artérias. </w:t>
      </w:r>
    </w:p>
    <w:p w:rsidR="0053109D" w:rsidRDefault="00D3623F" w:rsidP="0053109D">
      <w:pPr>
        <w:jc w:val="both"/>
      </w:pPr>
      <w:r>
        <w:t xml:space="preserve">   </w:t>
      </w:r>
      <w:r w:rsidRPr="00D3623F">
        <w:rPr>
          <w:b/>
        </w:rPr>
        <w:t>Isquemia Mesentérica Aguda Não Oclusiva</w:t>
      </w:r>
      <w:r>
        <w:t xml:space="preserve"> (NOMI)</w:t>
      </w:r>
      <w:r w:rsidRPr="00D3623F">
        <w:t xml:space="preserve"> </w:t>
      </w:r>
      <w:r>
        <w:t xml:space="preserve">ocorre em aproximadamente </w:t>
      </w:r>
      <w:r>
        <w:rPr>
          <w:rStyle w:val="Forte"/>
        </w:rPr>
        <w:t>20% dos casos</w:t>
      </w:r>
      <w:r>
        <w:t xml:space="preserve"> e geralmente resulta de vasoconstrição da artéria mesentérica superior.</w:t>
      </w:r>
      <w:r w:rsidRPr="00D3623F">
        <w:t xml:space="preserve"> Pacientes com NOMI frequentemente apresentam doenças coexistentes graves, sendo a insuficiência cardíaca — frequentemente precipitada por </w:t>
      </w:r>
      <w:proofErr w:type="spellStart"/>
      <w:r w:rsidRPr="00D3623F">
        <w:t>sepse</w:t>
      </w:r>
      <w:proofErr w:type="spellEnd"/>
      <w:r w:rsidRPr="00D3623F">
        <w:t xml:space="preserve"> — a condição associada mais comum. Estados de hipovolemia, bem como o uso de agentes vasoconstritores,</w:t>
      </w:r>
      <w:r>
        <w:t xml:space="preserve"> também são fortemente associados.</w:t>
      </w:r>
      <w:r w:rsidR="0055021D">
        <w:t xml:space="preserve"> D</w:t>
      </w:r>
      <w:r w:rsidR="0055021D" w:rsidRPr="0055021D">
        <w:t xml:space="preserve">eve ser suspeitada em pacientes criticamente enfermos com dor ou </w:t>
      </w:r>
      <w:r w:rsidR="0055021D" w:rsidRPr="0055021D">
        <w:lastRenderedPageBreak/>
        <w:t>distensão abdominal que necessitem de suporte vasopressor e que apresentem evidências de disfunção multiorgânica.</w:t>
      </w:r>
    </w:p>
    <w:p w:rsidR="0053109D" w:rsidRPr="00E141B9" w:rsidRDefault="00D3623F" w:rsidP="0053109D">
      <w:pPr>
        <w:jc w:val="both"/>
      </w:pPr>
      <w:r>
        <w:t xml:space="preserve">   A </w:t>
      </w:r>
      <w:r w:rsidRPr="00E141B9">
        <w:rPr>
          <w:b/>
        </w:rPr>
        <w:t xml:space="preserve">trombose de veia </w:t>
      </w:r>
      <w:proofErr w:type="spellStart"/>
      <w:r w:rsidRPr="00E141B9">
        <w:rPr>
          <w:b/>
        </w:rPr>
        <w:t>mesentérca</w:t>
      </w:r>
      <w:proofErr w:type="spellEnd"/>
      <w:r w:rsidR="00E141B9">
        <w:t xml:space="preserve"> corresponde a </w:t>
      </w:r>
      <w:r w:rsidR="00E141B9">
        <w:rPr>
          <w:rStyle w:val="Forte"/>
        </w:rPr>
        <w:t>menos de 10% dos casos</w:t>
      </w:r>
      <w:r w:rsidR="00E141B9">
        <w:t xml:space="preserve"> de infarto mesentérico. Pode ser desencadeada por processos inflamatórios envolvendo a veia mesentérica superior como pancreatite aguda ou doença inflamatória intestinal; traumas cirúrgicos com </w:t>
      </w:r>
      <w:proofErr w:type="spellStart"/>
      <w:r w:rsidR="00E141B9">
        <w:t>esplenectomias</w:t>
      </w:r>
      <w:proofErr w:type="spellEnd"/>
      <w:r w:rsidR="00E141B9">
        <w:t xml:space="preserve"> ou cirurgias bariátricas; estados de </w:t>
      </w:r>
      <w:proofErr w:type="spellStart"/>
      <w:r w:rsidR="00E141B9">
        <w:t>hipercoagulabilidade</w:t>
      </w:r>
      <w:proofErr w:type="spellEnd"/>
      <w:r w:rsidR="00E141B9">
        <w:t xml:space="preserve"> decorrente de condições hereditárias, como </w:t>
      </w:r>
      <w:r w:rsidR="00E141B9">
        <w:rPr>
          <w:rStyle w:val="Forte"/>
        </w:rPr>
        <w:t xml:space="preserve">mutação do Fator V </w:t>
      </w:r>
      <w:proofErr w:type="spellStart"/>
      <w:r w:rsidR="00E141B9">
        <w:rPr>
          <w:rStyle w:val="Forte"/>
        </w:rPr>
        <w:t>Leiden</w:t>
      </w:r>
      <w:proofErr w:type="spellEnd"/>
      <w:r w:rsidR="00E141B9">
        <w:t xml:space="preserve">, </w:t>
      </w:r>
      <w:r w:rsidR="00E141B9">
        <w:rPr>
          <w:rStyle w:val="Forte"/>
        </w:rPr>
        <w:t xml:space="preserve">mutação da </w:t>
      </w:r>
      <w:proofErr w:type="spellStart"/>
      <w:r w:rsidR="00E141B9">
        <w:rPr>
          <w:rStyle w:val="Forte"/>
        </w:rPr>
        <w:t>protrombina</w:t>
      </w:r>
      <w:proofErr w:type="spellEnd"/>
      <w:r w:rsidR="00E141B9">
        <w:t xml:space="preserve">, </w:t>
      </w:r>
      <w:r w:rsidR="00E141B9">
        <w:rPr>
          <w:rStyle w:val="Forte"/>
        </w:rPr>
        <w:t>deficiência de proteína S</w:t>
      </w:r>
      <w:r w:rsidR="00E141B9">
        <w:t xml:space="preserve">, </w:t>
      </w:r>
      <w:r w:rsidR="00E141B9">
        <w:rPr>
          <w:rStyle w:val="Forte"/>
        </w:rPr>
        <w:t>deficiência de proteína C</w:t>
      </w:r>
      <w:r w:rsidR="00E141B9">
        <w:t xml:space="preserve">, </w:t>
      </w:r>
      <w:r w:rsidR="00E141B9">
        <w:rPr>
          <w:rStyle w:val="Forte"/>
        </w:rPr>
        <w:t>deficiência de antitrombina</w:t>
      </w:r>
      <w:r w:rsidR="00E141B9">
        <w:t xml:space="preserve"> e </w:t>
      </w:r>
      <w:r w:rsidR="00E141B9">
        <w:rPr>
          <w:rStyle w:val="Forte"/>
        </w:rPr>
        <w:t>síndrome do anticorpo antifosfolípide</w:t>
      </w:r>
      <w:r w:rsidR="00E141B9">
        <w:rPr>
          <w:rStyle w:val="Forte"/>
          <w:b w:val="0"/>
        </w:rPr>
        <w:t xml:space="preserve">; </w:t>
      </w:r>
      <w:proofErr w:type="spellStart"/>
      <w:r w:rsidR="00E141B9">
        <w:t>trombofilia</w:t>
      </w:r>
      <w:proofErr w:type="spellEnd"/>
      <w:r w:rsidR="00E141B9">
        <w:t xml:space="preserve"> </w:t>
      </w:r>
      <w:r w:rsidR="00E141B9" w:rsidRPr="00E141B9">
        <w:rPr>
          <w:rStyle w:val="Forte"/>
          <w:b w:val="0"/>
        </w:rPr>
        <w:t>adquirida</w:t>
      </w:r>
      <w:r w:rsidR="00E141B9" w:rsidRPr="00E141B9">
        <w:t>,</w:t>
      </w:r>
      <w:r w:rsidR="00E141B9">
        <w:t xml:space="preserve"> especialmente em contexto de </w:t>
      </w:r>
      <w:r w:rsidR="00E141B9">
        <w:rPr>
          <w:rStyle w:val="Forte"/>
        </w:rPr>
        <w:t>neoplasias</w:t>
      </w:r>
      <w:r w:rsidR="00E141B9">
        <w:t xml:space="preserve">, </w:t>
      </w:r>
      <w:r w:rsidR="00E141B9">
        <w:rPr>
          <w:rStyle w:val="Forte"/>
        </w:rPr>
        <w:t>doenças hematológicas</w:t>
      </w:r>
      <w:r w:rsidR="00E141B9">
        <w:t xml:space="preserve"> ou uso de </w:t>
      </w:r>
      <w:r w:rsidR="00E141B9">
        <w:rPr>
          <w:rStyle w:val="Forte"/>
        </w:rPr>
        <w:t>contraceptivos orais</w:t>
      </w:r>
      <w:r w:rsidR="00E141B9">
        <w:t>.</w:t>
      </w:r>
    </w:p>
    <w:p w:rsidR="00257147" w:rsidRDefault="000D346F" w:rsidP="0053109D">
      <w:pPr>
        <w:jc w:val="both"/>
      </w:pPr>
      <w:r>
        <w:t xml:space="preserve">   O principal fator para o diagnóstico precoce é a </w:t>
      </w:r>
      <w:r>
        <w:rPr>
          <w:rStyle w:val="Forte"/>
        </w:rPr>
        <w:t>elevada suspeição clínica</w:t>
      </w:r>
      <w:r>
        <w:t xml:space="preserve">. O cenário clássico envolve um paciente que apresenta </w:t>
      </w:r>
      <w:r>
        <w:rPr>
          <w:rStyle w:val="Forte"/>
        </w:rPr>
        <w:t>dor abdominal intensa e desproporcional</w:t>
      </w:r>
      <w:r>
        <w:t xml:space="preserve"> aos achados do exame físico, que inicialmente é pouco revelador</w:t>
      </w:r>
      <w:r w:rsidR="000220FC">
        <w:t xml:space="preserve">. A explicação para essa discrepância é que a isquemia se inicia na </w:t>
      </w:r>
      <w:r w:rsidR="000220FC">
        <w:rPr>
          <w:rStyle w:val="Forte"/>
        </w:rPr>
        <w:t>mucosa intestinal</w:t>
      </w:r>
      <w:r w:rsidR="000220FC">
        <w:t xml:space="preserve"> e progride em direção à </w:t>
      </w:r>
      <w:r w:rsidR="000220FC">
        <w:rPr>
          <w:rStyle w:val="Forte"/>
        </w:rPr>
        <w:t>serosa</w:t>
      </w:r>
      <w:r w:rsidR="000220FC">
        <w:t xml:space="preserve">. Por essa razão, nas fases iniciais há </w:t>
      </w:r>
      <w:r w:rsidR="000220FC">
        <w:rPr>
          <w:rStyle w:val="Forte"/>
        </w:rPr>
        <w:t>dor intensa</w:t>
      </w:r>
      <w:r w:rsidR="000220FC">
        <w:t xml:space="preserve">, porém </w:t>
      </w:r>
      <w:r w:rsidR="000220FC">
        <w:rPr>
          <w:rStyle w:val="Forte"/>
        </w:rPr>
        <w:t>ausência de sinais clínicos evidentes</w:t>
      </w:r>
      <w:r w:rsidR="000220FC">
        <w:t xml:space="preserve"> ao exame físico. Nos casos com </w:t>
      </w:r>
      <w:r w:rsidR="000220FC">
        <w:rPr>
          <w:rStyle w:val="Forte"/>
        </w:rPr>
        <w:t>sinais de peritonite</w:t>
      </w:r>
      <w:r w:rsidR="000220FC">
        <w:t xml:space="preserve">, há grande probabilidade de que exista </w:t>
      </w:r>
      <w:r w:rsidR="000220FC">
        <w:rPr>
          <w:rStyle w:val="Forte"/>
        </w:rPr>
        <w:t>isquemia intestinal irreversível</w:t>
      </w:r>
      <w:r w:rsidR="000220FC">
        <w:t xml:space="preserve">, associada </w:t>
      </w:r>
      <w:proofErr w:type="gramStart"/>
      <w:r w:rsidR="000220FC">
        <w:t>a</w:t>
      </w:r>
      <w:proofErr w:type="gramEnd"/>
      <w:r w:rsidR="000220FC">
        <w:t xml:space="preserve"> </w:t>
      </w:r>
      <w:r w:rsidR="000220FC">
        <w:rPr>
          <w:rStyle w:val="Forte"/>
        </w:rPr>
        <w:t>necrose do segmento intestinal</w:t>
      </w:r>
      <w:r w:rsidR="000220FC">
        <w:t>.</w:t>
      </w:r>
      <w:r w:rsidR="00257147">
        <w:t xml:space="preserve"> </w:t>
      </w:r>
    </w:p>
    <w:p w:rsidR="00257147" w:rsidRPr="00257147" w:rsidRDefault="00DC28D5" w:rsidP="00257147">
      <w:pPr>
        <w:jc w:val="both"/>
      </w:pPr>
      <w:r>
        <w:t xml:space="preserve"> O quadro clínico é bastante variado e</w:t>
      </w:r>
      <w:r w:rsidR="00257147">
        <w:t xml:space="preserve"> </w:t>
      </w:r>
      <w:r w:rsidR="00257147" w:rsidRPr="00257147">
        <w:rPr>
          <w:b/>
          <w:bCs/>
        </w:rPr>
        <w:t>95% dos pacientes</w:t>
      </w:r>
      <w:r w:rsidR="00257147" w:rsidRPr="00257147">
        <w:t xml:space="preserve"> </w:t>
      </w:r>
      <w:r>
        <w:t>irão apresentar</w:t>
      </w:r>
      <w:r w:rsidR="00257147" w:rsidRPr="00257147">
        <w:t xml:space="preserve"> </w:t>
      </w:r>
      <w:r w:rsidR="00257147" w:rsidRPr="00257147">
        <w:rPr>
          <w:b/>
          <w:bCs/>
        </w:rPr>
        <w:t>dor abdominal</w:t>
      </w:r>
      <w:r w:rsidR="00257147" w:rsidRPr="00257147">
        <w:t xml:space="preserve">, </w:t>
      </w:r>
      <w:r w:rsidR="00257147" w:rsidRPr="00257147">
        <w:rPr>
          <w:b/>
          <w:bCs/>
        </w:rPr>
        <w:t>44%</w:t>
      </w:r>
      <w:r w:rsidR="00257147" w:rsidRPr="00257147">
        <w:t xml:space="preserve"> náuseas, </w:t>
      </w:r>
      <w:r w:rsidR="00257147" w:rsidRPr="00257147">
        <w:rPr>
          <w:b/>
          <w:bCs/>
        </w:rPr>
        <w:t>35%</w:t>
      </w:r>
      <w:r w:rsidR="00257147" w:rsidRPr="00257147">
        <w:t xml:space="preserve"> vômitos, </w:t>
      </w:r>
      <w:r w:rsidR="00257147" w:rsidRPr="00257147">
        <w:rPr>
          <w:b/>
          <w:bCs/>
        </w:rPr>
        <w:t>35%</w:t>
      </w:r>
      <w:r w:rsidR="00257147" w:rsidRPr="00257147">
        <w:t xml:space="preserve"> diarreia e </w:t>
      </w:r>
      <w:r w:rsidR="00257147" w:rsidRPr="00257147">
        <w:rPr>
          <w:b/>
          <w:bCs/>
        </w:rPr>
        <w:t>16%</w:t>
      </w:r>
      <w:r w:rsidR="00257147" w:rsidRPr="00257147">
        <w:t xml:space="preserve"> sangramento retal [38]. Aproximadamente </w:t>
      </w:r>
      <w:r w:rsidR="00257147" w:rsidRPr="00257147">
        <w:rPr>
          <w:b/>
          <w:bCs/>
        </w:rPr>
        <w:t>um terço</w:t>
      </w:r>
      <w:r w:rsidR="00257147" w:rsidRPr="00257147">
        <w:t xml:space="preserve"> dos pacientes apresenta </w:t>
      </w:r>
      <w:r w:rsidR="00257147" w:rsidRPr="00257147">
        <w:rPr>
          <w:b/>
          <w:bCs/>
        </w:rPr>
        <w:t>febre e sangue oculto</w:t>
      </w:r>
      <w:r>
        <w:rPr>
          <w:b/>
          <w:bCs/>
        </w:rPr>
        <w:t xml:space="preserve"> nas fezes ou mesmo </w:t>
      </w:r>
      <w:proofErr w:type="spellStart"/>
      <w:r>
        <w:rPr>
          <w:b/>
          <w:bCs/>
        </w:rPr>
        <w:t>hematoquezia</w:t>
      </w:r>
      <w:proofErr w:type="spellEnd"/>
      <w:r w:rsidR="00257147" w:rsidRPr="00257147">
        <w:t xml:space="preserve">. Outros pacientes, especialmente aqueles com diagnóstico tardio, podem apresentar-se em estado crítico, com </w:t>
      </w:r>
      <w:r w:rsidR="00257147" w:rsidRPr="00257147">
        <w:rPr>
          <w:b/>
          <w:bCs/>
        </w:rPr>
        <w:t>choque séptico</w:t>
      </w:r>
      <w:r w:rsidR="00257147" w:rsidRPr="00257147">
        <w:t>.</w:t>
      </w:r>
    </w:p>
    <w:p w:rsidR="00257147" w:rsidRPr="00257147" w:rsidRDefault="00DC28D5" w:rsidP="00257147">
      <w:pPr>
        <w:jc w:val="both"/>
      </w:pPr>
      <w:r>
        <w:t xml:space="preserve">   </w:t>
      </w:r>
      <w:r w:rsidR="00257147" w:rsidRPr="00257147">
        <w:t xml:space="preserve">Os sinais clínicos de peritonite podem ser discretos; portanto, é essencial manter </w:t>
      </w:r>
      <w:r w:rsidR="00257147" w:rsidRPr="00257147">
        <w:rPr>
          <w:b/>
          <w:bCs/>
        </w:rPr>
        <w:t>alto índice de suspeição</w:t>
      </w:r>
      <w:r w:rsidR="00257147" w:rsidRPr="00257147">
        <w:t xml:space="preserve">, uma vez que tais achados são altamente sugestivos de </w:t>
      </w:r>
      <w:r w:rsidR="00257147" w:rsidRPr="00257147">
        <w:rPr>
          <w:b/>
          <w:bCs/>
        </w:rPr>
        <w:t>infarto intestinal</w:t>
      </w:r>
      <w:r w:rsidR="00257147" w:rsidRPr="00257147">
        <w:t>. A apresentação clássica da IMA — “</w:t>
      </w:r>
      <w:r w:rsidR="00257147" w:rsidRPr="00257147">
        <w:rPr>
          <w:b/>
          <w:bCs/>
        </w:rPr>
        <w:t>dor abdominal intensa, mal localizada e desproporcional ao exame físico</w:t>
      </w:r>
      <w:r w:rsidR="00257147" w:rsidRPr="00257147">
        <w:t>” — tem se tornado menos frequente, enquanto apresentações “</w:t>
      </w:r>
      <w:r w:rsidR="00257147" w:rsidRPr="00257147">
        <w:rPr>
          <w:b/>
          <w:bCs/>
        </w:rPr>
        <w:t>agudas e crônicas</w:t>
      </w:r>
      <w:r w:rsidR="00257147" w:rsidRPr="00257147">
        <w:t>” são mais típicas e provavelmente subdiagnos</w:t>
      </w:r>
      <w:r>
        <w:t>ticadas</w:t>
      </w:r>
      <w:r w:rsidR="00257147" w:rsidRPr="00257147">
        <w:t xml:space="preserve">. Indivíduos com sintomas de isquemia mesentérica crônica têm maior risco de desenvolver </w:t>
      </w:r>
      <w:r>
        <w:t>o</w:t>
      </w:r>
      <w:r w:rsidR="00257147" w:rsidRPr="00257147">
        <w:t xml:space="preserve"> durante </w:t>
      </w:r>
      <w:r>
        <w:t>internações</w:t>
      </w:r>
      <w:r w:rsidR="00257147" w:rsidRPr="00257147">
        <w:t>.</w:t>
      </w:r>
    </w:p>
    <w:p w:rsidR="0053109D" w:rsidRDefault="007E24B6" w:rsidP="0053109D">
      <w:pPr>
        <w:jc w:val="both"/>
      </w:pPr>
      <w:r>
        <w:t xml:space="preserve">   </w:t>
      </w:r>
      <w:r w:rsidRPr="007E24B6">
        <w:t xml:space="preserve">Embora os exames laboratoriais não sejam determinantes para o diagnóstico de isquemia mesentérica aguda, eles podem auxiliar na sustentação da suspeita clínica. Mais de 90% dos pacientes apresentam </w:t>
      </w:r>
      <w:r w:rsidRPr="007E24B6">
        <w:rPr>
          <w:b/>
        </w:rPr>
        <w:t>leucocitose significativa</w:t>
      </w:r>
      <w:r w:rsidRPr="007E24B6">
        <w:t xml:space="preserve">. </w:t>
      </w:r>
      <w:r>
        <w:t xml:space="preserve">Outras </w:t>
      </w:r>
      <w:r w:rsidRPr="007E24B6">
        <w:t>alteraç</w:t>
      </w:r>
      <w:r>
        <w:t>ões</w:t>
      </w:r>
      <w:r w:rsidRPr="007E24B6">
        <w:t xml:space="preserve"> frequentemente observada</w:t>
      </w:r>
      <w:r>
        <w:t>s</w:t>
      </w:r>
      <w:r w:rsidRPr="007E24B6">
        <w:t xml:space="preserve"> </w:t>
      </w:r>
      <w:r>
        <w:t>são</w:t>
      </w:r>
      <w:r w:rsidRPr="007E24B6">
        <w:t xml:space="preserve"> a </w:t>
      </w:r>
      <w:r w:rsidRPr="007E24B6">
        <w:rPr>
          <w:b/>
        </w:rPr>
        <w:t>acidose metabólica</w:t>
      </w:r>
      <w:r w:rsidRPr="007E24B6">
        <w:t xml:space="preserve"> com elevação do </w:t>
      </w:r>
      <w:proofErr w:type="spellStart"/>
      <w:r w:rsidRPr="007E24B6">
        <w:rPr>
          <w:b/>
        </w:rPr>
        <w:t>lactato</w:t>
      </w:r>
      <w:proofErr w:type="spellEnd"/>
      <w:r w:rsidRPr="007E24B6">
        <w:rPr>
          <w:b/>
        </w:rPr>
        <w:t xml:space="preserve"> sérico</w:t>
      </w:r>
      <w:r w:rsidRPr="007E24B6">
        <w:t>, presente em aproximadamente 88% dos casos</w:t>
      </w:r>
      <w:r>
        <w:t xml:space="preserve">. O </w:t>
      </w:r>
      <w:proofErr w:type="spellStart"/>
      <w:r w:rsidRPr="007E24B6">
        <w:rPr>
          <w:b/>
        </w:rPr>
        <w:t>D-dímero</w:t>
      </w:r>
      <w:proofErr w:type="spellEnd"/>
      <w:r>
        <w:t xml:space="preserve"> pode ser útil na avaliação inicial, embora não deva substituir métodos de imagem</w:t>
      </w:r>
      <w:r w:rsidR="00A54C4F">
        <w:t xml:space="preserve">. Elevação da </w:t>
      </w:r>
      <w:r w:rsidR="00A54C4F" w:rsidRPr="00A54C4F">
        <w:rPr>
          <w:b/>
        </w:rPr>
        <w:t>amilase sérica</w:t>
      </w:r>
      <w:r w:rsidR="00A54C4F">
        <w:t xml:space="preserve"> é observada em aproximadamente metade dos pacientes (podendo levar </w:t>
      </w:r>
      <w:proofErr w:type="gramStart"/>
      <w:r w:rsidR="00A54C4F">
        <w:t>à</w:t>
      </w:r>
      <w:proofErr w:type="gramEnd"/>
      <w:r w:rsidR="00A54C4F">
        <w:t xml:space="preserve"> suspeita equivocada de pancreatite aguda).</w:t>
      </w:r>
    </w:p>
    <w:p w:rsidR="00A54C4F" w:rsidRDefault="00A54C4F" w:rsidP="0053109D">
      <w:pPr>
        <w:jc w:val="both"/>
      </w:pPr>
      <w:r>
        <w:t xml:space="preserve">   O atraso diagnóstico permanece o principal determinante da elevada mortalidade associada, que permanece entre 30% e 70% apesar dos avanços no conhecimento fisiopatológico e terapêutico. Cada intervalo adicional de 6 horas no diagnóstico</w:t>
      </w:r>
      <w:proofErr w:type="gramStart"/>
      <w:r>
        <w:t xml:space="preserve">  </w:t>
      </w:r>
      <w:proofErr w:type="gramEnd"/>
      <w:r>
        <w:rPr>
          <w:rStyle w:val="Forte"/>
        </w:rPr>
        <w:t>duplica a mortalidade</w:t>
      </w:r>
      <w:r>
        <w:t>.</w:t>
      </w:r>
    </w:p>
    <w:p w:rsidR="0053109D" w:rsidRDefault="00542329" w:rsidP="0053109D">
      <w:pPr>
        <w:jc w:val="both"/>
      </w:pPr>
      <w:r>
        <w:t xml:space="preserve">   O exame de imagem a ser realizado é a </w:t>
      </w:r>
      <w:proofErr w:type="spellStart"/>
      <w:r w:rsidRPr="00542329">
        <w:rPr>
          <w:b/>
        </w:rPr>
        <w:t>Angio-Tomografia</w:t>
      </w:r>
      <w:proofErr w:type="spellEnd"/>
      <w:r w:rsidRPr="00542329">
        <w:rPr>
          <w:b/>
        </w:rPr>
        <w:t xml:space="preserve"> Computadorizada</w:t>
      </w:r>
      <w:r>
        <w:t xml:space="preserve">. Os achados geralmente refletem isquemia irreversível, incluindo dilatação e espessamento das alças </w:t>
      </w:r>
      <w:r>
        <w:lastRenderedPageBreak/>
        <w:t xml:space="preserve">intestinais, redução ou ausência de realce parietal, </w:t>
      </w:r>
      <w:r w:rsidR="0055021D">
        <w:t xml:space="preserve">líquido livre </w:t>
      </w:r>
      <w:proofErr w:type="spellStart"/>
      <w:proofErr w:type="gramStart"/>
      <w:r w:rsidR="0055021D">
        <w:t>intra-peritoneal</w:t>
      </w:r>
      <w:proofErr w:type="spellEnd"/>
      <w:proofErr w:type="gramEnd"/>
      <w:r w:rsidR="0055021D">
        <w:t xml:space="preserve">, </w:t>
      </w:r>
      <w:proofErr w:type="spellStart"/>
      <w:r>
        <w:t>pneumatose</w:t>
      </w:r>
      <w:proofErr w:type="spellEnd"/>
      <w:r>
        <w:t xml:space="preserve"> intestinal, gás no sistema porta e, em situações mais graves, </w:t>
      </w:r>
      <w:proofErr w:type="spellStart"/>
      <w:r>
        <w:t>pneumoperitônio</w:t>
      </w:r>
      <w:proofErr w:type="spellEnd"/>
      <w:r>
        <w:t>.</w:t>
      </w:r>
    </w:p>
    <w:p w:rsidR="00542329" w:rsidRPr="00542329" w:rsidRDefault="00542329" w:rsidP="00542329">
      <w:pPr>
        <w:jc w:val="both"/>
      </w:pPr>
      <w:r>
        <w:t xml:space="preserve">   </w:t>
      </w:r>
      <w:r w:rsidRPr="00542329">
        <w:t xml:space="preserve">A </w:t>
      </w:r>
      <w:proofErr w:type="spellStart"/>
      <w:r w:rsidRPr="00542329">
        <w:rPr>
          <w:b/>
          <w:bCs/>
        </w:rPr>
        <w:t>anamnese</w:t>
      </w:r>
      <w:proofErr w:type="spellEnd"/>
      <w:r w:rsidRPr="00542329">
        <w:t xml:space="preserve"> deve ser conduzida de forma minuciosa, com documentação completa da história patológica pregressa no prontuário, incluindo comorbidades, uso de medicamentos, intervenções prévias e fatores de risco associados.</w:t>
      </w:r>
    </w:p>
    <w:p w:rsidR="00542329" w:rsidRDefault="00542329" w:rsidP="00542329">
      <w:pPr>
        <w:jc w:val="both"/>
      </w:pPr>
      <w:r w:rsidRPr="00542329">
        <w:t xml:space="preserve">Da mesma forma, é imprescindível </w:t>
      </w:r>
      <w:r w:rsidRPr="00542329">
        <w:rPr>
          <w:b/>
          <w:bCs/>
        </w:rPr>
        <w:t>registrar sistematicamente os sinais vitais</w:t>
      </w:r>
      <w:r w:rsidRPr="00542329">
        <w:t>, especialmente frequência cardíaca, pressão arterial e frequência respiratória, uma vez que alterações nesses parâmetros podem constituir indicadores precoces de gravidade e orientar decisões terapêuticas.</w:t>
      </w:r>
    </w:p>
    <w:p w:rsidR="00944196" w:rsidRDefault="00944196" w:rsidP="00542329">
      <w:pPr>
        <w:jc w:val="both"/>
      </w:pPr>
      <w:r>
        <w:t xml:space="preserve">   </w:t>
      </w:r>
      <w:r w:rsidRPr="00944196">
        <w:t xml:space="preserve">A isquemia intestinal leva à perda precoce da barreira mucosa, o que facilita a </w:t>
      </w:r>
      <w:proofErr w:type="spellStart"/>
      <w:r w:rsidRPr="00944196">
        <w:t>translocação</w:t>
      </w:r>
      <w:proofErr w:type="spellEnd"/>
      <w:r w:rsidRPr="00944196">
        <w:t xml:space="preserve"> bacteriana e o risco de complicações sépticas.</w:t>
      </w:r>
      <w:r>
        <w:t xml:space="preserve"> </w:t>
      </w:r>
      <w:r w:rsidRPr="00944196">
        <w:t>Antibióticos de amplo espectro devem ser administrados imediatamente.</w:t>
      </w:r>
    </w:p>
    <w:p w:rsidR="000957AC" w:rsidRDefault="000957AC" w:rsidP="00542329">
      <w:pPr>
        <w:jc w:val="both"/>
      </w:pPr>
      <w:r>
        <w:t xml:space="preserve">   </w:t>
      </w:r>
      <w:r w:rsidRPr="000957AC">
        <w:t>A liberação de produtos tóxicos após a ressecção intestinal e a restauração do fluxo sanguíneo induzem processos inflamatórios que podem levar à f</w:t>
      </w:r>
      <w:r>
        <w:t>alência múltipla de órgãos</w:t>
      </w:r>
      <w:r w:rsidRPr="000957AC">
        <w:t>, mesmo na ausência de necrose intestinal.</w:t>
      </w:r>
    </w:p>
    <w:p w:rsidR="000957AC" w:rsidRDefault="000957AC" w:rsidP="00542329">
      <w:pPr>
        <w:jc w:val="both"/>
      </w:pPr>
      <w:r>
        <w:t xml:space="preserve">   </w:t>
      </w:r>
      <w:r w:rsidRPr="000957AC">
        <w:t xml:space="preserve">A </w:t>
      </w:r>
      <w:proofErr w:type="spellStart"/>
      <w:r w:rsidRPr="000957AC">
        <w:t>heparina</w:t>
      </w:r>
      <w:proofErr w:type="spellEnd"/>
      <w:r w:rsidRPr="000957AC">
        <w:t xml:space="preserve"> sistêmica é administrada no pós-operatório</w:t>
      </w:r>
      <w:r w:rsidRPr="000957AC">
        <w:rPr>
          <w:rFonts w:ascii="Cambria" w:hAnsi="Cambria"/>
          <w:color w:val="1B1B1B"/>
          <w:shd w:val="clear" w:color="auto" w:fill="FFFFFF"/>
        </w:rPr>
        <w:t xml:space="preserve"> </w:t>
      </w:r>
      <w:r w:rsidRPr="000957AC">
        <w:t xml:space="preserve">em todos os pacientes. A </w:t>
      </w:r>
      <w:proofErr w:type="spellStart"/>
      <w:r w:rsidRPr="000957AC">
        <w:t>heparina</w:t>
      </w:r>
      <w:proofErr w:type="spellEnd"/>
      <w:r w:rsidRPr="000957AC">
        <w:t xml:space="preserve"> de baixo peso molecular (HBPM) em doses terapêuticas é uma boa alternativa caso não haja intervenções cirúrgicas planejadas. </w:t>
      </w:r>
    </w:p>
    <w:p w:rsidR="000957AC" w:rsidRPr="00542329" w:rsidRDefault="000957AC" w:rsidP="00542329">
      <w:pPr>
        <w:jc w:val="both"/>
      </w:pPr>
      <w:r>
        <w:t xml:space="preserve">   </w:t>
      </w:r>
      <w:r w:rsidRPr="000957AC">
        <w:t xml:space="preserve">A alimentação </w:t>
      </w:r>
      <w:proofErr w:type="spellStart"/>
      <w:r w:rsidRPr="000957AC">
        <w:t>enteral</w:t>
      </w:r>
      <w:proofErr w:type="spellEnd"/>
      <w:r w:rsidRPr="000957AC">
        <w:t xml:space="preserve"> é preferencial, mas alguns pacientes podem necessitar de nutrição parenteral por um período prolongado devido à síndrome do intestino curto e insuficiência intestinal.</w:t>
      </w:r>
    </w:p>
    <w:p w:rsidR="00542329" w:rsidRDefault="00542329" w:rsidP="0053109D">
      <w:pPr>
        <w:jc w:val="both"/>
      </w:pPr>
    </w:p>
    <w:p w:rsidR="00575467" w:rsidRDefault="00DC28D5" w:rsidP="00575467">
      <w:pPr>
        <w:pStyle w:val="Ttulo1"/>
      </w:pPr>
      <w:r>
        <w:t xml:space="preserve">  </w:t>
      </w:r>
      <w:r w:rsidR="00575467">
        <w:t>Informações e exames imprescindíveis para a adequada estratificação diagnóstica e definição da conduta inicial</w:t>
      </w:r>
    </w:p>
    <w:p w:rsidR="00DC28D5" w:rsidRDefault="00DC28D5" w:rsidP="0053109D">
      <w:pPr>
        <w:jc w:val="both"/>
      </w:pPr>
    </w:p>
    <w:p w:rsidR="00DC28D5" w:rsidRDefault="00DC28D5" w:rsidP="00DC28D5">
      <w:pPr>
        <w:pStyle w:val="PargrafodaLista"/>
        <w:numPr>
          <w:ilvl w:val="0"/>
          <w:numId w:val="1"/>
        </w:numPr>
        <w:jc w:val="both"/>
      </w:pPr>
      <w:proofErr w:type="gramStart"/>
      <w:r>
        <w:t>Lembrar de</w:t>
      </w:r>
      <w:proofErr w:type="gramEnd"/>
      <w:r>
        <w:t xml:space="preserve"> caracterizar ao máximo a dor abdominal que o paciente apresenta.</w:t>
      </w:r>
    </w:p>
    <w:p w:rsidR="00DC28D5" w:rsidRDefault="00DC28D5" w:rsidP="0053109D">
      <w:pPr>
        <w:jc w:val="both"/>
      </w:pPr>
      <w:r>
        <w:t xml:space="preserve">   O paciente portador de Isquemia Mes</w:t>
      </w:r>
      <w:r w:rsidR="00EB0F90">
        <w:t>entérica Aguda</w:t>
      </w:r>
      <w:proofErr w:type="gramStart"/>
      <w:r w:rsidR="00EB0F90">
        <w:t>, irá</w:t>
      </w:r>
      <w:proofErr w:type="gramEnd"/>
      <w:r w:rsidR="00EB0F90">
        <w:t xml:space="preserve"> apresentar</w:t>
      </w:r>
      <w:r>
        <w:t xml:space="preserve"> um quadro de dor abdominal,</w:t>
      </w:r>
      <w:r w:rsidR="00036DA3">
        <w:t xml:space="preserve"> difusa, início agudo, de forte intensidade, </w:t>
      </w:r>
      <w:r w:rsidR="007E24B6">
        <w:t xml:space="preserve">sem </w:t>
      </w:r>
      <w:proofErr w:type="spellStart"/>
      <w:r w:rsidR="007E24B6">
        <w:t>irradicação</w:t>
      </w:r>
      <w:proofErr w:type="spellEnd"/>
      <w:r w:rsidR="00575467">
        <w:t>,</w:t>
      </w:r>
      <w:r w:rsidR="007E24B6">
        <w:t xml:space="preserve"> </w:t>
      </w:r>
      <w:r w:rsidR="00036DA3">
        <w:t>sem fatores de piora</w:t>
      </w:r>
      <w:r w:rsidR="007E24B6">
        <w:t xml:space="preserve"> e que pode estar acompanhada de mal-estar, náuseas e vômitos, diarreia e sangramento retal.</w:t>
      </w:r>
    </w:p>
    <w:p w:rsidR="00036DA3" w:rsidRDefault="00036DA3" w:rsidP="0053109D">
      <w:pPr>
        <w:jc w:val="both"/>
      </w:pPr>
      <w:r>
        <w:t xml:space="preserve">   Casos de pacientes com trombose de artéria mesentérica, o quadro de dor abdominal, pode ter caráter de dor crônica, de fraca a média intensidade, que piora após alimentação, mal caracterizada e de localização difusa</w:t>
      </w:r>
      <w:r w:rsidR="007E24B6">
        <w:t xml:space="preserve"> e recorrente.</w:t>
      </w:r>
    </w:p>
    <w:p w:rsidR="007E24B6" w:rsidRDefault="007E24B6" w:rsidP="0053109D">
      <w:pPr>
        <w:jc w:val="both"/>
      </w:pPr>
      <w:r>
        <w:t xml:space="preserve">   Os pacientes apresentam exame físico inocente, sem grandes alterações. Nos casos de necrose já estabelecida podem ter sinais de irritação peritoneal.</w:t>
      </w:r>
    </w:p>
    <w:p w:rsidR="00542329" w:rsidRDefault="00542329" w:rsidP="0053109D">
      <w:pPr>
        <w:jc w:val="both"/>
      </w:pPr>
      <w:r>
        <w:lastRenderedPageBreak/>
        <w:t xml:space="preserve">   A história patológica pregressa do paciente deve ser detalhadamente colhida e constar no prontuário. </w:t>
      </w:r>
    </w:p>
    <w:p w:rsidR="00DC28D5" w:rsidRDefault="00542329" w:rsidP="0053109D">
      <w:pPr>
        <w:jc w:val="both"/>
      </w:pPr>
      <w:r>
        <w:t xml:space="preserve">    Lembrar sempre de checar e anotar em prontuário a frequência cardíaca a pressão arterial e a frequência respiratória.</w:t>
      </w:r>
    </w:p>
    <w:p w:rsidR="00944196" w:rsidRDefault="00944196" w:rsidP="0053109D">
      <w:pPr>
        <w:jc w:val="both"/>
      </w:pPr>
      <w:r>
        <w:t xml:space="preserve">  Exames Laboratoriais que devem ser solicitados:</w:t>
      </w:r>
    </w:p>
    <w:p w:rsidR="00944196" w:rsidRDefault="00944196" w:rsidP="0053109D">
      <w:pPr>
        <w:jc w:val="both"/>
      </w:pPr>
      <w:r>
        <w:t>- Hemograma</w:t>
      </w:r>
      <w:r>
        <w:tab/>
      </w:r>
      <w:r>
        <w:tab/>
        <w:t>- PCR</w:t>
      </w:r>
      <w:r>
        <w:tab/>
      </w:r>
      <w:r>
        <w:tab/>
        <w:t xml:space="preserve">- </w:t>
      </w:r>
      <w:proofErr w:type="spellStart"/>
      <w:r>
        <w:t>Lactato</w:t>
      </w:r>
      <w:proofErr w:type="spellEnd"/>
      <w:r>
        <w:tab/>
      </w:r>
      <w:r>
        <w:tab/>
        <w:t>- Gasometria Arterial</w:t>
      </w:r>
    </w:p>
    <w:p w:rsidR="00944196" w:rsidRDefault="00944196" w:rsidP="0053109D">
      <w:pPr>
        <w:jc w:val="both"/>
      </w:pPr>
      <w:r>
        <w:t xml:space="preserve">- </w:t>
      </w:r>
      <w:proofErr w:type="spellStart"/>
      <w:r>
        <w:t>Creatinina</w:t>
      </w:r>
      <w:proofErr w:type="spellEnd"/>
      <w:r>
        <w:tab/>
      </w:r>
      <w:r>
        <w:tab/>
        <w:t xml:space="preserve">- </w:t>
      </w:r>
      <w:proofErr w:type="spellStart"/>
      <w:r>
        <w:t>Uréia</w:t>
      </w:r>
      <w:proofErr w:type="spellEnd"/>
      <w:r>
        <w:tab/>
      </w:r>
      <w:r>
        <w:tab/>
        <w:t>- Sódio</w:t>
      </w:r>
      <w:r>
        <w:tab/>
      </w:r>
      <w:r>
        <w:tab/>
      </w:r>
      <w:r>
        <w:tab/>
        <w:t>- Potássio</w:t>
      </w:r>
    </w:p>
    <w:p w:rsidR="005E18A4" w:rsidRDefault="005E18A4" w:rsidP="0053109D">
      <w:pPr>
        <w:jc w:val="both"/>
      </w:pPr>
      <w:r>
        <w:t>- Potássio</w:t>
      </w:r>
      <w:r>
        <w:tab/>
      </w:r>
      <w:r>
        <w:tab/>
        <w:t>- Sódio</w:t>
      </w:r>
      <w:r>
        <w:tab/>
      </w:r>
      <w:r>
        <w:tab/>
        <w:t>- TAP</w:t>
      </w:r>
      <w:r>
        <w:tab/>
      </w:r>
      <w:r>
        <w:tab/>
      </w:r>
      <w:r>
        <w:tab/>
        <w:t>- PTTK</w:t>
      </w:r>
    </w:p>
    <w:p w:rsidR="002B5C77" w:rsidRDefault="002B5C77" w:rsidP="0053109D">
      <w:pPr>
        <w:jc w:val="both"/>
      </w:pPr>
      <w:r>
        <w:t>- Amilase</w:t>
      </w:r>
      <w:r>
        <w:tab/>
      </w:r>
      <w:r>
        <w:tab/>
        <w:t xml:space="preserve">- </w:t>
      </w:r>
      <w:proofErr w:type="spellStart"/>
      <w:r>
        <w:t>Lipase</w:t>
      </w:r>
      <w:proofErr w:type="spellEnd"/>
    </w:p>
    <w:p w:rsidR="0055021D" w:rsidRDefault="0055021D" w:rsidP="0053109D">
      <w:pPr>
        <w:jc w:val="both"/>
      </w:pPr>
      <w:r>
        <w:t xml:space="preserve">   </w:t>
      </w:r>
      <w:r w:rsidRPr="0055021D">
        <w:t xml:space="preserve">A </w:t>
      </w:r>
      <w:proofErr w:type="spellStart"/>
      <w:r>
        <w:t>A</w:t>
      </w:r>
      <w:r w:rsidRPr="0055021D">
        <w:t>ngio</w:t>
      </w:r>
      <w:r>
        <w:t>-Tomografia</w:t>
      </w:r>
      <w:proofErr w:type="spellEnd"/>
      <w:r>
        <w:t xml:space="preserve"> Computadorizada (</w:t>
      </w:r>
      <w:proofErr w:type="spellStart"/>
      <w:r>
        <w:t>A</w:t>
      </w:r>
      <w:r w:rsidRPr="0055021D">
        <w:t>ngio</w:t>
      </w:r>
      <w:r>
        <w:t>-</w:t>
      </w:r>
      <w:r w:rsidRPr="0055021D">
        <w:t>TC</w:t>
      </w:r>
      <w:proofErr w:type="spellEnd"/>
      <w:r w:rsidRPr="0055021D">
        <w:t xml:space="preserve">) deve ser realizada sem demora em qualquer paciente com suspeita de </w:t>
      </w:r>
      <w:r>
        <w:t>isquemia mesentérica.</w:t>
      </w:r>
    </w:p>
    <w:p w:rsidR="00EB0F90" w:rsidRDefault="0055021D" w:rsidP="0053109D">
      <w:pPr>
        <w:jc w:val="both"/>
      </w:pPr>
      <w:r>
        <w:t xml:space="preserve">   </w:t>
      </w:r>
      <w:r w:rsidR="00944196" w:rsidRPr="00944196">
        <w:t xml:space="preserve">Quando o diagnóstico </w:t>
      </w:r>
      <w:r w:rsidR="00944196">
        <w:t xml:space="preserve">é fortemente suspeito ou </w:t>
      </w:r>
      <w:r w:rsidR="00944196" w:rsidRPr="00944196">
        <w:t>confirmado, a reposição volêmica deve ser iniciada imediatamente</w:t>
      </w:r>
      <w:r w:rsidR="00944196">
        <w:t xml:space="preserve">, </w:t>
      </w:r>
      <w:r w:rsidR="00944196" w:rsidRPr="00944196">
        <w:t xml:space="preserve">com cristaloides e </w:t>
      </w:r>
      <w:proofErr w:type="spellStart"/>
      <w:r w:rsidR="00944196" w:rsidRPr="00944196">
        <w:t>hemoderivados</w:t>
      </w:r>
      <w:proofErr w:type="spellEnd"/>
      <w:r w:rsidR="00944196">
        <w:t>,</w:t>
      </w:r>
      <w:r w:rsidR="00944196" w:rsidRPr="00944196">
        <w:t xml:space="preserve">  para melhorar a perfusão visceral. </w:t>
      </w:r>
      <w:r w:rsidR="00EB0F90">
        <w:t xml:space="preserve">  </w:t>
      </w:r>
    </w:p>
    <w:p w:rsidR="00944196" w:rsidRDefault="00EB0F90" w:rsidP="0053109D">
      <w:pPr>
        <w:jc w:val="both"/>
      </w:pPr>
      <w:r>
        <w:t xml:space="preserve">   </w:t>
      </w:r>
      <w:r w:rsidR="00944196" w:rsidRPr="00944196">
        <w:t xml:space="preserve">A </w:t>
      </w:r>
      <w:proofErr w:type="spellStart"/>
      <w:r w:rsidR="00944196" w:rsidRPr="00944196">
        <w:t>ressuscitação</w:t>
      </w:r>
      <w:proofErr w:type="spellEnd"/>
      <w:r w:rsidR="00944196" w:rsidRPr="00944196">
        <w:t xml:space="preserve"> pré-operatória é importante para prevenir o colapso cardiovascular na indução da anestesia.</w:t>
      </w:r>
    </w:p>
    <w:p w:rsidR="00944196" w:rsidRDefault="00944196" w:rsidP="0053109D">
      <w:pPr>
        <w:jc w:val="both"/>
      </w:pPr>
      <w:r>
        <w:t xml:space="preserve">   </w:t>
      </w:r>
      <w:r w:rsidRPr="00944196">
        <w:t>As anormalidades eletrolíticas devem ser corrigidas</w:t>
      </w:r>
      <w:r>
        <w:t>.</w:t>
      </w:r>
    </w:p>
    <w:p w:rsidR="0055021D" w:rsidRDefault="00944196" w:rsidP="0053109D">
      <w:pPr>
        <w:jc w:val="both"/>
      </w:pPr>
      <w:r>
        <w:t xml:space="preserve">   A</w:t>
      </w:r>
      <w:r w:rsidRPr="00944196">
        <w:t xml:space="preserve"> descompressão </w:t>
      </w:r>
      <w:proofErr w:type="spellStart"/>
      <w:r w:rsidRPr="00944196">
        <w:t>nasogástrica</w:t>
      </w:r>
      <w:proofErr w:type="spellEnd"/>
      <w:r w:rsidRPr="00944196">
        <w:t xml:space="preserve"> deve ser iniciada. </w:t>
      </w:r>
    </w:p>
    <w:p w:rsidR="00944196" w:rsidRDefault="00944196" w:rsidP="0053109D">
      <w:pPr>
        <w:jc w:val="both"/>
      </w:pPr>
      <w:r>
        <w:t xml:space="preserve">   </w:t>
      </w:r>
      <w:proofErr w:type="spellStart"/>
      <w:r>
        <w:t>Antibioticoterapia</w:t>
      </w:r>
      <w:proofErr w:type="spellEnd"/>
      <w:r>
        <w:t xml:space="preserve"> deve ser iniciada imediatame</w:t>
      </w:r>
      <w:r w:rsidR="00E77E9C">
        <w:t>nte</w:t>
      </w:r>
    </w:p>
    <w:p w:rsidR="00E77E9C" w:rsidRPr="00575467" w:rsidRDefault="00E77E9C" w:rsidP="00575467">
      <w:pPr>
        <w:pStyle w:val="PargrafodaLista"/>
        <w:numPr>
          <w:ilvl w:val="0"/>
          <w:numId w:val="8"/>
        </w:numPr>
        <w:spacing w:after="0" w:line="240" w:lineRule="auto"/>
        <w:jc w:val="both"/>
        <w:rPr>
          <w:b/>
          <w:bCs/>
        </w:rPr>
      </w:pPr>
      <w:r w:rsidRPr="00575467">
        <w:rPr>
          <w:b/>
          <w:bCs/>
        </w:rPr>
        <w:t>Reposição volêmica</w:t>
      </w:r>
    </w:p>
    <w:p w:rsidR="00E77E9C" w:rsidRPr="003064D4" w:rsidRDefault="00E77E9C" w:rsidP="00575467">
      <w:pPr>
        <w:pStyle w:val="PargrafodaLista"/>
        <w:numPr>
          <w:ilvl w:val="0"/>
          <w:numId w:val="1"/>
        </w:numPr>
        <w:spacing w:after="0" w:line="240" w:lineRule="auto"/>
        <w:jc w:val="both"/>
      </w:pPr>
      <w:r w:rsidRPr="003064D4">
        <w:t xml:space="preserve">Solução preferencial: </w:t>
      </w:r>
      <w:proofErr w:type="spellStart"/>
      <w:r w:rsidRPr="00575467">
        <w:rPr>
          <w:b/>
          <w:bCs/>
        </w:rPr>
        <w:t>Ringer</w:t>
      </w:r>
      <w:proofErr w:type="spellEnd"/>
      <w:r w:rsidRPr="00575467">
        <w:rPr>
          <w:b/>
          <w:bCs/>
        </w:rPr>
        <w:t xml:space="preserve"> </w:t>
      </w:r>
      <w:proofErr w:type="spellStart"/>
      <w:r w:rsidRPr="00575467">
        <w:rPr>
          <w:b/>
          <w:bCs/>
        </w:rPr>
        <w:t>Lactato</w:t>
      </w:r>
      <w:proofErr w:type="spellEnd"/>
    </w:p>
    <w:p w:rsidR="00E77E9C" w:rsidRPr="003064D4" w:rsidRDefault="00E77E9C" w:rsidP="00575467">
      <w:pPr>
        <w:pStyle w:val="PargrafodaLista"/>
        <w:numPr>
          <w:ilvl w:val="0"/>
          <w:numId w:val="1"/>
        </w:numPr>
        <w:spacing w:after="0" w:line="240" w:lineRule="auto"/>
        <w:jc w:val="both"/>
      </w:pPr>
      <w:r w:rsidRPr="003064D4">
        <w:t>Esquema inicial: 250–500 mL/h</w:t>
      </w:r>
    </w:p>
    <w:p w:rsidR="00E77E9C" w:rsidRPr="003064D4" w:rsidRDefault="00E77E9C" w:rsidP="00575467">
      <w:pPr>
        <w:pStyle w:val="PargrafodaLista"/>
        <w:numPr>
          <w:ilvl w:val="0"/>
          <w:numId w:val="1"/>
        </w:numPr>
        <w:spacing w:after="0" w:line="240" w:lineRule="auto"/>
        <w:jc w:val="both"/>
      </w:pPr>
      <w:r w:rsidRPr="003064D4">
        <w:t>Alvo: FC &lt; 1</w:t>
      </w:r>
      <w:r w:rsidR="00EA33F9">
        <w:t xml:space="preserve">20, PAM ≥ 65, </w:t>
      </w:r>
      <w:r w:rsidRPr="003064D4">
        <w:t xml:space="preserve">diurese ≥ 0,5 </w:t>
      </w:r>
      <w:proofErr w:type="spellStart"/>
      <w:r w:rsidRPr="003064D4">
        <w:t>mL</w:t>
      </w:r>
      <w:proofErr w:type="spellEnd"/>
      <w:r w:rsidRPr="003064D4">
        <w:t>/kg/h</w:t>
      </w:r>
    </w:p>
    <w:p w:rsidR="00E77E9C" w:rsidRPr="003064D4" w:rsidRDefault="00E77E9C" w:rsidP="00575467">
      <w:pPr>
        <w:pStyle w:val="PargrafodaLista"/>
        <w:numPr>
          <w:ilvl w:val="0"/>
          <w:numId w:val="1"/>
        </w:numPr>
        <w:spacing w:after="0" w:line="240" w:lineRule="auto"/>
        <w:jc w:val="both"/>
      </w:pPr>
      <w:r w:rsidRPr="003064D4">
        <w:t>Evitar hidratação excessiva.</w:t>
      </w:r>
    </w:p>
    <w:p w:rsidR="00E77E9C" w:rsidRPr="00575467" w:rsidRDefault="00E77E9C" w:rsidP="00575467">
      <w:pPr>
        <w:pStyle w:val="PargrafodaLista"/>
        <w:numPr>
          <w:ilvl w:val="0"/>
          <w:numId w:val="8"/>
        </w:numPr>
        <w:jc w:val="both"/>
        <w:rPr>
          <w:b/>
          <w:bCs/>
        </w:rPr>
      </w:pPr>
      <w:r w:rsidRPr="00575467">
        <w:rPr>
          <w:b/>
          <w:bCs/>
        </w:rPr>
        <w:t>Controle de dor</w:t>
      </w:r>
    </w:p>
    <w:p w:rsidR="00E77E9C" w:rsidRDefault="00575467" w:rsidP="00E77E9C">
      <w:pPr>
        <w:pStyle w:val="PargrafodaLista"/>
        <w:numPr>
          <w:ilvl w:val="0"/>
          <w:numId w:val="6"/>
        </w:numPr>
        <w:spacing w:after="0" w:line="240" w:lineRule="auto"/>
        <w:jc w:val="both"/>
      </w:pPr>
      <w:proofErr w:type="spellStart"/>
      <w:r>
        <w:t>Opioides</w:t>
      </w:r>
      <w:proofErr w:type="spellEnd"/>
      <w:r>
        <w:t xml:space="preserve">: </w:t>
      </w:r>
      <w:r w:rsidR="00E77E9C">
        <w:t>Morfina</w:t>
      </w:r>
      <w:proofErr w:type="gramStart"/>
      <w:r w:rsidR="00E77E9C">
        <w:t xml:space="preserve">  </w:t>
      </w:r>
      <w:proofErr w:type="gramEnd"/>
      <w:r w:rsidR="00E77E9C">
        <w:t xml:space="preserve">2,0 </w:t>
      </w:r>
      <w:proofErr w:type="spellStart"/>
      <w:r w:rsidR="00E77E9C">
        <w:t>mg</w:t>
      </w:r>
      <w:proofErr w:type="spellEnd"/>
      <w:r w:rsidR="00E77E9C">
        <w:t xml:space="preserve">  I.V de 6/6 horas</w:t>
      </w:r>
    </w:p>
    <w:p w:rsidR="00E77E9C" w:rsidRDefault="00E77E9C" w:rsidP="00575467">
      <w:pPr>
        <w:pStyle w:val="PargrafodaLista"/>
        <w:numPr>
          <w:ilvl w:val="0"/>
          <w:numId w:val="6"/>
        </w:numPr>
        <w:jc w:val="both"/>
      </w:pPr>
      <w:r w:rsidRPr="003064D4">
        <w:t xml:space="preserve">AINES </w:t>
      </w:r>
      <w:r>
        <w:t>(</w:t>
      </w:r>
      <w:r w:rsidRPr="003064D4">
        <w:t>podem ser ut</w:t>
      </w:r>
      <w:r>
        <w:t xml:space="preserve">ilizados se função renal normal): </w:t>
      </w:r>
    </w:p>
    <w:p w:rsidR="00E77E9C" w:rsidRDefault="00E77E9C" w:rsidP="00E77E9C">
      <w:pPr>
        <w:pStyle w:val="PargrafodaLista"/>
        <w:numPr>
          <w:ilvl w:val="0"/>
          <w:numId w:val="5"/>
        </w:numPr>
        <w:jc w:val="both"/>
      </w:pPr>
      <w:proofErr w:type="spellStart"/>
      <w:r>
        <w:t>Cetoprofeno</w:t>
      </w:r>
      <w:proofErr w:type="spellEnd"/>
      <w:proofErr w:type="gramStart"/>
      <w:r>
        <w:t xml:space="preserve">  </w:t>
      </w:r>
      <w:proofErr w:type="gramEnd"/>
      <w:r>
        <w:t xml:space="preserve">100 </w:t>
      </w:r>
      <w:proofErr w:type="spellStart"/>
      <w:r>
        <w:t>mg</w:t>
      </w:r>
      <w:proofErr w:type="spellEnd"/>
      <w:r>
        <w:t xml:space="preserve"> I,V, de 12/12 horas</w:t>
      </w:r>
    </w:p>
    <w:p w:rsidR="00E77E9C" w:rsidRDefault="00E77E9C" w:rsidP="00E77E9C">
      <w:pPr>
        <w:pStyle w:val="PargrafodaLista"/>
        <w:numPr>
          <w:ilvl w:val="0"/>
          <w:numId w:val="5"/>
        </w:numPr>
        <w:jc w:val="both"/>
      </w:pPr>
      <w:r>
        <w:t xml:space="preserve"> </w:t>
      </w:r>
      <w:proofErr w:type="spellStart"/>
      <w:r>
        <w:t>Ibuprofeno</w:t>
      </w:r>
      <w:proofErr w:type="spellEnd"/>
      <w:proofErr w:type="gramStart"/>
      <w:r>
        <w:t xml:space="preserve">  </w:t>
      </w:r>
      <w:proofErr w:type="gramEnd"/>
      <w:r>
        <w:t xml:space="preserve">600 </w:t>
      </w:r>
      <w:proofErr w:type="spellStart"/>
      <w:r>
        <w:t>mg</w:t>
      </w:r>
      <w:proofErr w:type="spellEnd"/>
      <w:r>
        <w:t xml:space="preserve"> </w:t>
      </w:r>
      <w:proofErr w:type="spellStart"/>
      <w:r>
        <w:t>I.V.</w:t>
      </w:r>
      <w:proofErr w:type="spellEnd"/>
      <w:r>
        <w:t xml:space="preserve"> de 12/12 horas</w:t>
      </w:r>
    </w:p>
    <w:p w:rsidR="00E77E9C" w:rsidRDefault="00E77E9C" w:rsidP="00E77E9C">
      <w:pPr>
        <w:pStyle w:val="PargrafodaLista"/>
        <w:numPr>
          <w:ilvl w:val="0"/>
          <w:numId w:val="7"/>
        </w:numPr>
        <w:spacing w:after="0" w:line="240" w:lineRule="auto"/>
        <w:jc w:val="both"/>
      </w:pPr>
      <w:proofErr w:type="spellStart"/>
      <w:r>
        <w:t>Dipirona</w:t>
      </w:r>
      <w:proofErr w:type="spellEnd"/>
      <w:r>
        <w:t xml:space="preserve"> 2,0 g </w:t>
      </w:r>
      <w:proofErr w:type="spellStart"/>
      <w:r>
        <w:t>I.V.</w:t>
      </w:r>
      <w:proofErr w:type="spellEnd"/>
      <w:r>
        <w:t xml:space="preserve"> de 4/4 horas</w:t>
      </w:r>
    </w:p>
    <w:p w:rsidR="00575467" w:rsidRDefault="00575467" w:rsidP="00575467">
      <w:pPr>
        <w:pStyle w:val="PargrafodaLista"/>
        <w:spacing w:after="0" w:line="240" w:lineRule="auto"/>
        <w:ind w:left="1440"/>
        <w:jc w:val="both"/>
      </w:pPr>
    </w:p>
    <w:p w:rsidR="00E77E9C" w:rsidRDefault="00575467" w:rsidP="00575467">
      <w:pPr>
        <w:pStyle w:val="PargrafodaLista"/>
        <w:numPr>
          <w:ilvl w:val="0"/>
          <w:numId w:val="8"/>
        </w:numPr>
        <w:jc w:val="both"/>
        <w:rPr>
          <w:b/>
        </w:rPr>
      </w:pPr>
      <w:r w:rsidRPr="00575467">
        <w:rPr>
          <w:b/>
        </w:rPr>
        <w:t xml:space="preserve">Correção de Distúrbios </w:t>
      </w:r>
      <w:proofErr w:type="spellStart"/>
      <w:r w:rsidRPr="00575467">
        <w:rPr>
          <w:b/>
        </w:rPr>
        <w:t>Hidro-Eletrolíticos</w:t>
      </w:r>
      <w:proofErr w:type="spellEnd"/>
    </w:p>
    <w:p w:rsidR="00575467" w:rsidRDefault="00575467" w:rsidP="00575467">
      <w:pPr>
        <w:pStyle w:val="PargrafodaLista"/>
        <w:numPr>
          <w:ilvl w:val="0"/>
          <w:numId w:val="8"/>
        </w:numPr>
        <w:jc w:val="both"/>
        <w:rPr>
          <w:b/>
        </w:rPr>
      </w:pPr>
      <w:r>
        <w:rPr>
          <w:b/>
        </w:rPr>
        <w:t xml:space="preserve">Sonda </w:t>
      </w:r>
      <w:proofErr w:type="spellStart"/>
      <w:r>
        <w:rPr>
          <w:b/>
        </w:rPr>
        <w:t>Naso-Gástrica</w:t>
      </w:r>
      <w:proofErr w:type="spellEnd"/>
      <w:r>
        <w:rPr>
          <w:b/>
        </w:rPr>
        <w:t xml:space="preserve"> nº 18 ou nº 20</w:t>
      </w:r>
    </w:p>
    <w:p w:rsidR="00575467" w:rsidRDefault="00575467" w:rsidP="00575467">
      <w:pPr>
        <w:pStyle w:val="PargrafodaLista"/>
        <w:numPr>
          <w:ilvl w:val="0"/>
          <w:numId w:val="8"/>
        </w:numPr>
        <w:jc w:val="both"/>
        <w:rPr>
          <w:b/>
        </w:rPr>
      </w:pPr>
      <w:proofErr w:type="spellStart"/>
      <w:r>
        <w:rPr>
          <w:b/>
        </w:rPr>
        <w:t>Antibioticoterapia</w:t>
      </w:r>
      <w:proofErr w:type="spellEnd"/>
    </w:p>
    <w:p w:rsidR="00575467" w:rsidRPr="00575467" w:rsidRDefault="00575467" w:rsidP="00575467">
      <w:pPr>
        <w:pStyle w:val="PargrafodaLista"/>
        <w:numPr>
          <w:ilvl w:val="0"/>
          <w:numId w:val="7"/>
        </w:numPr>
        <w:jc w:val="both"/>
        <w:rPr>
          <w:b/>
        </w:rPr>
      </w:pPr>
      <w:proofErr w:type="spellStart"/>
      <w:r w:rsidRPr="00575467">
        <w:rPr>
          <w:bCs/>
        </w:rPr>
        <w:t>Ceftriaxona</w:t>
      </w:r>
      <w:proofErr w:type="spellEnd"/>
      <w:r w:rsidRPr="00575467">
        <w:rPr>
          <w:bCs/>
        </w:rPr>
        <w:t xml:space="preserve"> </w:t>
      </w:r>
      <w:r>
        <w:rPr>
          <w:bCs/>
        </w:rPr>
        <w:t xml:space="preserve">2 g I.V 1 x </w:t>
      </w:r>
      <w:r w:rsidRPr="00575467">
        <w:rPr>
          <w:bCs/>
        </w:rPr>
        <w:t xml:space="preserve">dia + </w:t>
      </w:r>
      <w:proofErr w:type="spellStart"/>
      <w:r w:rsidRPr="00575467">
        <w:rPr>
          <w:bCs/>
        </w:rPr>
        <w:t>Metronidazol</w:t>
      </w:r>
      <w:proofErr w:type="spellEnd"/>
      <w:r w:rsidRPr="00575467">
        <w:rPr>
          <w:bCs/>
        </w:rPr>
        <w:t xml:space="preserve"> 500 </w:t>
      </w:r>
      <w:proofErr w:type="spellStart"/>
      <w:proofErr w:type="gramStart"/>
      <w:r w:rsidRPr="00575467">
        <w:rPr>
          <w:bCs/>
        </w:rPr>
        <w:t>mg</w:t>
      </w:r>
      <w:proofErr w:type="spellEnd"/>
      <w:proofErr w:type="gramEnd"/>
      <w:r w:rsidRPr="00575467">
        <w:rPr>
          <w:bCs/>
        </w:rPr>
        <w:t xml:space="preserve"> IV 8/8h</w:t>
      </w:r>
    </w:p>
    <w:p w:rsidR="00575467" w:rsidRDefault="00575467" w:rsidP="00575467">
      <w:pPr>
        <w:pStyle w:val="PargrafodaLista"/>
        <w:numPr>
          <w:ilvl w:val="0"/>
          <w:numId w:val="7"/>
        </w:numPr>
        <w:spacing w:after="0"/>
        <w:jc w:val="both"/>
      </w:pPr>
      <w:proofErr w:type="spellStart"/>
      <w:r w:rsidRPr="00575467">
        <w:rPr>
          <w:bCs/>
        </w:rPr>
        <w:t>Piperacilina–tazobactam</w:t>
      </w:r>
      <w:proofErr w:type="spellEnd"/>
      <w:r w:rsidRPr="00FA3F9A">
        <w:t xml:space="preserve"> 4,5 g IV a cada 6 </w:t>
      </w:r>
      <w:proofErr w:type="gramStart"/>
      <w:r w:rsidRPr="00FA3F9A">
        <w:t>a</w:t>
      </w:r>
      <w:proofErr w:type="gramEnd"/>
      <w:r w:rsidRPr="00FA3F9A">
        <w:t xml:space="preserve"> 8h</w:t>
      </w:r>
    </w:p>
    <w:p w:rsidR="00575467" w:rsidRPr="00575467" w:rsidRDefault="00575467" w:rsidP="00575467">
      <w:pPr>
        <w:jc w:val="both"/>
        <w:rPr>
          <w:b/>
        </w:rPr>
      </w:pPr>
    </w:p>
    <w:p w:rsidR="007E24B6" w:rsidRDefault="007E24B6" w:rsidP="0053109D">
      <w:pPr>
        <w:jc w:val="both"/>
      </w:pPr>
    </w:p>
    <w:p w:rsidR="007E24B6" w:rsidRDefault="007E24B6" w:rsidP="0053109D">
      <w:pPr>
        <w:jc w:val="both"/>
      </w:pPr>
    </w:p>
    <w:sectPr w:rsidR="007E24B6" w:rsidSect="00775B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FF5C08"/>
    <w:multiLevelType w:val="multilevel"/>
    <w:tmpl w:val="CC2E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F15F26"/>
    <w:multiLevelType w:val="hybridMultilevel"/>
    <w:tmpl w:val="0FAA379E"/>
    <w:lvl w:ilvl="0" w:tplc="0416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293B6498"/>
    <w:multiLevelType w:val="hybridMultilevel"/>
    <w:tmpl w:val="CA663290"/>
    <w:lvl w:ilvl="0" w:tplc="AFD2A08A">
      <w:start w:val="1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4BF3A97"/>
    <w:multiLevelType w:val="hybridMultilevel"/>
    <w:tmpl w:val="D63C55A6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41603687"/>
    <w:multiLevelType w:val="hybridMultilevel"/>
    <w:tmpl w:val="B17A2690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5D7A59B1"/>
    <w:multiLevelType w:val="hybridMultilevel"/>
    <w:tmpl w:val="B38A34FA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6EC014C4"/>
    <w:multiLevelType w:val="multilevel"/>
    <w:tmpl w:val="B908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0553BFA"/>
    <w:multiLevelType w:val="hybridMultilevel"/>
    <w:tmpl w:val="7B2A9CF0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779437A7"/>
    <w:multiLevelType w:val="hybridMultilevel"/>
    <w:tmpl w:val="1BC4B3DC"/>
    <w:lvl w:ilvl="0" w:tplc="AFD2A08A">
      <w:start w:val="1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D075A2F"/>
    <w:multiLevelType w:val="multilevel"/>
    <w:tmpl w:val="2FA4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2"/>
  </w:num>
  <w:num w:numId="5">
    <w:abstractNumId w:val="1"/>
  </w:num>
  <w:num w:numId="6">
    <w:abstractNumId w:val="7"/>
  </w:num>
  <w:num w:numId="7">
    <w:abstractNumId w:val="5"/>
  </w:num>
  <w:num w:numId="8">
    <w:abstractNumId w:val="8"/>
  </w:num>
  <w:num w:numId="9">
    <w:abstractNumId w:val="3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53109D"/>
    <w:rsid w:val="000220FC"/>
    <w:rsid w:val="00036DA3"/>
    <w:rsid w:val="000957AC"/>
    <w:rsid w:val="000D346F"/>
    <w:rsid w:val="0024395A"/>
    <w:rsid w:val="00257147"/>
    <w:rsid w:val="002B5C77"/>
    <w:rsid w:val="0053109D"/>
    <w:rsid w:val="00542329"/>
    <w:rsid w:val="0055021D"/>
    <w:rsid w:val="00575467"/>
    <w:rsid w:val="005E18A4"/>
    <w:rsid w:val="00653487"/>
    <w:rsid w:val="00775B65"/>
    <w:rsid w:val="007E24B6"/>
    <w:rsid w:val="008A6C85"/>
    <w:rsid w:val="00944196"/>
    <w:rsid w:val="00A04E23"/>
    <w:rsid w:val="00A54C4F"/>
    <w:rsid w:val="00D3623F"/>
    <w:rsid w:val="00DC28D5"/>
    <w:rsid w:val="00E141B9"/>
    <w:rsid w:val="00E77E9C"/>
    <w:rsid w:val="00EA33F9"/>
    <w:rsid w:val="00EB0F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5B65"/>
  </w:style>
  <w:style w:type="paragraph" w:styleId="Ttulo1">
    <w:name w:val="heading 1"/>
    <w:basedOn w:val="Normal"/>
    <w:next w:val="Normal"/>
    <w:link w:val="Ttulo1Char"/>
    <w:uiPriority w:val="9"/>
    <w:qFormat/>
    <w:rsid w:val="0057546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D3623F"/>
    <w:rPr>
      <w:b/>
      <w:bCs/>
    </w:rPr>
  </w:style>
  <w:style w:type="paragraph" w:styleId="PargrafodaLista">
    <w:name w:val="List Paragraph"/>
    <w:basedOn w:val="Normal"/>
    <w:uiPriority w:val="34"/>
    <w:qFormat/>
    <w:rsid w:val="00DC28D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42329"/>
    <w:rPr>
      <w:rFonts w:ascii="Times New Roman" w:hAnsi="Times New Roman" w:cs="Times New Roman"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57546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00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9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5</Pages>
  <Words>1640</Words>
  <Characters>8856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chico</dc:creator>
  <cp:lastModifiedBy>chico</cp:lastModifiedBy>
  <cp:revision>11</cp:revision>
  <dcterms:created xsi:type="dcterms:W3CDTF">2025-11-18T15:35:00Z</dcterms:created>
  <dcterms:modified xsi:type="dcterms:W3CDTF">2025-12-16T12:52:00Z</dcterms:modified>
</cp:coreProperties>
</file>