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5314EA" w:rsidRDefault="00A31ECD" w:rsidP="005314EA">
      <w:pPr>
        <w:shd w:val="clear" w:color="auto" w:fill="FBD4B4" w:themeFill="accent6" w:themeFillTint="66"/>
        <w:jc w:val="center"/>
        <w:rPr>
          <w:b/>
          <w:sz w:val="32"/>
        </w:rPr>
      </w:pPr>
      <w:r w:rsidRPr="005314EA">
        <w:rPr>
          <w:b/>
          <w:sz w:val="32"/>
        </w:rPr>
        <w:t xml:space="preserve">ANTIBIOTICOTERAPIA NA COLECISTITE AGUDA E NA </w:t>
      </w:r>
    </w:p>
    <w:p w:rsidR="00785486" w:rsidRPr="005314EA" w:rsidRDefault="00A31ECD" w:rsidP="005314EA">
      <w:pPr>
        <w:shd w:val="clear" w:color="auto" w:fill="FBD4B4" w:themeFill="accent6" w:themeFillTint="66"/>
        <w:jc w:val="center"/>
        <w:rPr>
          <w:b/>
          <w:sz w:val="32"/>
        </w:rPr>
      </w:pPr>
      <w:r w:rsidRPr="005314EA">
        <w:rPr>
          <w:b/>
          <w:sz w:val="32"/>
        </w:rPr>
        <w:t>COLANGITE AGUDA</w:t>
      </w:r>
    </w:p>
    <w:p w:rsidR="00A31ECD" w:rsidRDefault="00A31ECD" w:rsidP="00A31ECD">
      <w:pPr>
        <w:jc w:val="both"/>
      </w:pP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A </w:t>
      </w:r>
      <w:proofErr w:type="spellStart"/>
      <w:r w:rsidRPr="00E44132">
        <w:t>colangite</w:t>
      </w:r>
      <w:proofErr w:type="spellEnd"/>
      <w:r w:rsidRPr="00E44132">
        <w:t xml:space="preserve"> aguda e a </w:t>
      </w:r>
      <w:proofErr w:type="spellStart"/>
      <w:r w:rsidRPr="00E44132">
        <w:t>colecistite</w:t>
      </w:r>
      <w:proofErr w:type="spellEnd"/>
      <w:r w:rsidRPr="00E44132">
        <w:t xml:space="preserve"> aguda permanecem condições </w:t>
      </w:r>
      <w:r w:rsidRPr="005314EA">
        <w:rPr>
          <w:color w:val="E36C0A" w:themeColor="accent6" w:themeShade="BF"/>
        </w:rPr>
        <w:t>potencialmente fatais</w:t>
      </w:r>
      <w:r w:rsidRPr="00E44132">
        <w:t xml:space="preserve"> quando </w:t>
      </w:r>
      <w:r w:rsidRPr="005314EA">
        <w:rPr>
          <w:color w:val="E36C0A" w:themeColor="accent6" w:themeShade="BF"/>
        </w:rPr>
        <w:t>não tratadas</w:t>
      </w:r>
      <w:r w:rsidRPr="00E44132">
        <w:t xml:space="preserve"> de forma </w:t>
      </w:r>
      <w:r w:rsidRPr="005314EA">
        <w:rPr>
          <w:color w:val="E36C0A" w:themeColor="accent6" w:themeShade="BF"/>
        </w:rPr>
        <w:t>adequada</w:t>
      </w:r>
      <w:r w:rsidRPr="00E44132">
        <w:t xml:space="preserve"> e </w:t>
      </w:r>
      <w:r w:rsidRPr="005314EA">
        <w:rPr>
          <w:color w:val="E36C0A" w:themeColor="accent6" w:themeShade="BF"/>
        </w:rPr>
        <w:t>rápida</w:t>
      </w:r>
      <w:r>
        <w:t>. Na diretriz TG18</w:t>
      </w:r>
      <w:r w:rsidRPr="00E44132">
        <w:t xml:space="preserve">, foi proposto um sistema de estratificação de gravidade, posteriormente validado por um estudo multicêntrico de grande escala, que demonstrou taxas de </w:t>
      </w:r>
      <w:r w:rsidRPr="005314EA">
        <w:rPr>
          <w:b/>
          <w:color w:val="E36C0A" w:themeColor="accent6" w:themeShade="BF"/>
        </w:rPr>
        <w:t>mortalidade</w:t>
      </w:r>
      <w:r w:rsidRPr="00E44132">
        <w:t xml:space="preserve"> em 30 dias de </w:t>
      </w:r>
      <w:r w:rsidRPr="005314EA">
        <w:rPr>
          <w:bCs/>
          <w:color w:val="E36C0A" w:themeColor="accent6" w:themeShade="BF"/>
        </w:rPr>
        <w:t>2,4%</w:t>
      </w:r>
      <w:r w:rsidRPr="00E44132">
        <w:rPr>
          <w:bCs/>
        </w:rPr>
        <w:t xml:space="preserve">, </w:t>
      </w:r>
      <w:r w:rsidRPr="005314EA">
        <w:rPr>
          <w:bCs/>
          <w:color w:val="E36C0A" w:themeColor="accent6" w:themeShade="BF"/>
        </w:rPr>
        <w:t>4,7%</w:t>
      </w:r>
      <w:r w:rsidRPr="00E44132">
        <w:rPr>
          <w:bCs/>
        </w:rPr>
        <w:t xml:space="preserve"> e </w:t>
      </w:r>
      <w:r w:rsidRPr="005314EA">
        <w:rPr>
          <w:bCs/>
          <w:color w:val="E36C0A" w:themeColor="accent6" w:themeShade="BF"/>
        </w:rPr>
        <w:t>8,4%</w:t>
      </w:r>
      <w:r w:rsidRPr="00E44132">
        <w:t xml:space="preserve"> para os graus de </w:t>
      </w:r>
      <w:r w:rsidRPr="005314EA">
        <w:rPr>
          <w:color w:val="E36C0A" w:themeColor="accent6" w:themeShade="BF"/>
        </w:rPr>
        <w:t>gravidade</w:t>
      </w:r>
      <w:r w:rsidRPr="00E44132">
        <w:t xml:space="preserve"> </w:t>
      </w:r>
      <w:r w:rsidRPr="005314EA">
        <w:rPr>
          <w:b/>
          <w:color w:val="E36C0A" w:themeColor="accent6" w:themeShade="BF"/>
        </w:rPr>
        <w:t>I</w:t>
      </w:r>
      <w:r w:rsidRPr="00E44132">
        <w:t xml:space="preserve">, </w:t>
      </w:r>
      <w:r w:rsidRPr="005314EA">
        <w:rPr>
          <w:b/>
          <w:color w:val="E36C0A" w:themeColor="accent6" w:themeShade="BF"/>
        </w:rPr>
        <w:t>II</w:t>
      </w:r>
      <w:r w:rsidRPr="00E44132">
        <w:t xml:space="preserve"> e </w:t>
      </w:r>
      <w:r w:rsidRPr="005314EA">
        <w:rPr>
          <w:b/>
          <w:color w:val="E36C0A" w:themeColor="accent6" w:themeShade="BF"/>
        </w:rPr>
        <w:t>III</w:t>
      </w:r>
      <w:r w:rsidRPr="00E44132">
        <w:t>, respectivamente.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Em pacientes com </w:t>
      </w:r>
      <w:r w:rsidRPr="005314EA">
        <w:rPr>
          <w:color w:val="E36C0A" w:themeColor="accent6" w:themeShade="BF"/>
        </w:rPr>
        <w:t>choque séptico</w:t>
      </w:r>
      <w:r w:rsidRPr="00E44132">
        <w:t xml:space="preserve">, recomenda-se a administração de </w:t>
      </w:r>
      <w:r w:rsidRPr="005314EA">
        <w:rPr>
          <w:color w:val="E36C0A" w:themeColor="accent6" w:themeShade="BF"/>
        </w:rPr>
        <w:t>terapia antimicrobiana</w:t>
      </w:r>
      <w:r w:rsidRPr="00E44132">
        <w:t xml:space="preserve"> </w:t>
      </w:r>
      <w:r w:rsidRPr="00E44132">
        <w:rPr>
          <w:bCs/>
        </w:rPr>
        <w:t xml:space="preserve">na </w:t>
      </w:r>
      <w:r w:rsidRPr="005314EA">
        <w:rPr>
          <w:b/>
          <w:bCs/>
          <w:color w:val="E36C0A" w:themeColor="accent6" w:themeShade="BF"/>
        </w:rPr>
        <w:t>primeira hora</w:t>
      </w:r>
      <w:r w:rsidRPr="00E44132">
        <w:t xml:space="preserve"> </w:t>
      </w:r>
      <w:r>
        <w:t xml:space="preserve">da </w:t>
      </w:r>
      <w:r w:rsidRPr="005314EA">
        <w:rPr>
          <w:color w:val="E36C0A" w:themeColor="accent6" w:themeShade="BF"/>
        </w:rPr>
        <w:t>suspeita clínica</w:t>
      </w:r>
      <w:r w:rsidRPr="00E44132">
        <w:t xml:space="preserve">. Nos indivíduos </w:t>
      </w:r>
      <w:r w:rsidRPr="005314EA">
        <w:rPr>
          <w:color w:val="E36C0A" w:themeColor="accent6" w:themeShade="BF"/>
        </w:rPr>
        <w:t>sem</w:t>
      </w:r>
      <w:r w:rsidRPr="00E44132">
        <w:t xml:space="preserve"> quadro de </w:t>
      </w:r>
      <w:proofErr w:type="spellStart"/>
      <w:r w:rsidRPr="005314EA">
        <w:rPr>
          <w:color w:val="E36C0A" w:themeColor="accent6" w:themeShade="BF"/>
        </w:rPr>
        <w:t>sepse</w:t>
      </w:r>
      <w:proofErr w:type="spellEnd"/>
      <w:r w:rsidRPr="005314EA">
        <w:rPr>
          <w:color w:val="E36C0A" w:themeColor="accent6" w:themeShade="BF"/>
        </w:rPr>
        <w:t xml:space="preserve"> grave</w:t>
      </w:r>
      <w:r w:rsidRPr="00E44132">
        <w:t xml:space="preserve">, a </w:t>
      </w:r>
      <w:proofErr w:type="spellStart"/>
      <w:r w:rsidRPr="005314EA">
        <w:rPr>
          <w:color w:val="E36C0A" w:themeColor="accent6" w:themeShade="BF"/>
        </w:rPr>
        <w:t>antibioticoterapia</w:t>
      </w:r>
      <w:proofErr w:type="spellEnd"/>
      <w:r w:rsidRPr="00E44132">
        <w:t xml:space="preserve"> deve ser </w:t>
      </w:r>
      <w:r w:rsidRPr="005314EA">
        <w:rPr>
          <w:color w:val="E36C0A" w:themeColor="accent6" w:themeShade="BF"/>
        </w:rPr>
        <w:t>iniciada</w:t>
      </w:r>
      <w:r w:rsidRPr="00E44132">
        <w:t xml:space="preserve"> </w:t>
      </w:r>
      <w:r w:rsidRPr="005314EA">
        <w:rPr>
          <w:b/>
          <w:bCs/>
          <w:color w:val="E36C0A" w:themeColor="accent6" w:themeShade="BF"/>
        </w:rPr>
        <w:t>até 6 horas</w:t>
      </w:r>
      <w:r w:rsidRPr="00E44132">
        <w:rPr>
          <w:bCs/>
        </w:rPr>
        <w:t xml:space="preserve"> após o diagnóstico</w:t>
      </w:r>
      <w:r w:rsidRPr="00E44132">
        <w:t xml:space="preserve">. O </w:t>
      </w:r>
      <w:r w:rsidRPr="005314EA">
        <w:rPr>
          <w:color w:val="E36C0A" w:themeColor="accent6" w:themeShade="BF"/>
        </w:rPr>
        <w:t>objetivo primário</w:t>
      </w:r>
      <w:r w:rsidRPr="00E44132">
        <w:t xml:space="preserve"> da terapia antimicrobiana nas </w:t>
      </w:r>
      <w:proofErr w:type="spellStart"/>
      <w:r w:rsidRPr="00E44132">
        <w:t>colangites</w:t>
      </w:r>
      <w:proofErr w:type="spellEnd"/>
      <w:r w:rsidRPr="00E44132">
        <w:t xml:space="preserve"> e </w:t>
      </w:r>
      <w:proofErr w:type="spellStart"/>
      <w:r w:rsidRPr="00E44132">
        <w:t>colecistites</w:t>
      </w:r>
      <w:proofErr w:type="spellEnd"/>
      <w:r w:rsidRPr="00E44132">
        <w:t xml:space="preserve"> agudas é </w:t>
      </w:r>
      <w:r w:rsidRPr="005314EA">
        <w:rPr>
          <w:color w:val="E36C0A" w:themeColor="accent6" w:themeShade="BF"/>
        </w:rPr>
        <w:t>atenuar</w:t>
      </w:r>
      <w:r w:rsidRPr="00E44132">
        <w:t xml:space="preserve"> a </w:t>
      </w:r>
      <w:r w:rsidRPr="005314EA">
        <w:rPr>
          <w:color w:val="E36C0A" w:themeColor="accent6" w:themeShade="BF"/>
        </w:rPr>
        <w:t>resposta inflamatória sistêmica</w:t>
      </w:r>
      <w:r w:rsidRPr="00E44132">
        <w:t xml:space="preserve"> e o </w:t>
      </w:r>
      <w:r w:rsidRPr="005314EA">
        <w:rPr>
          <w:color w:val="E36C0A" w:themeColor="accent6" w:themeShade="BF"/>
        </w:rPr>
        <w:t>processo infeccioso local</w:t>
      </w:r>
      <w:r w:rsidRPr="00E44132">
        <w:t xml:space="preserve">, além de </w:t>
      </w:r>
      <w:r w:rsidRPr="005314EA">
        <w:rPr>
          <w:color w:val="E36C0A" w:themeColor="accent6" w:themeShade="BF"/>
        </w:rPr>
        <w:t>reduzir</w:t>
      </w:r>
      <w:r w:rsidRPr="00E44132">
        <w:t xml:space="preserve"> o </w:t>
      </w:r>
      <w:r w:rsidRPr="005314EA">
        <w:rPr>
          <w:color w:val="E36C0A" w:themeColor="accent6" w:themeShade="BF"/>
        </w:rPr>
        <w:t>risco de infecções de sítio cirúrgico</w:t>
      </w:r>
      <w:r w:rsidRPr="00E44132">
        <w:t xml:space="preserve"> (superficial, </w:t>
      </w:r>
      <w:proofErr w:type="spellStart"/>
      <w:r w:rsidRPr="00E44132">
        <w:t>fáscia</w:t>
      </w:r>
      <w:proofErr w:type="spellEnd"/>
      <w:r w:rsidRPr="00E44132">
        <w:t xml:space="preserve"> ou cavidade) e </w:t>
      </w:r>
      <w:r w:rsidRPr="005314EA">
        <w:rPr>
          <w:color w:val="E36C0A" w:themeColor="accent6" w:themeShade="BF"/>
        </w:rPr>
        <w:t>prevenir complicações</w:t>
      </w:r>
      <w:r w:rsidRPr="00E44132">
        <w:t xml:space="preserve"> como </w:t>
      </w:r>
      <w:r w:rsidRPr="005314EA">
        <w:rPr>
          <w:color w:val="E36C0A" w:themeColor="accent6" w:themeShade="BF"/>
        </w:rPr>
        <w:t>abscessos hepáticos</w:t>
      </w:r>
      <w:r w:rsidRPr="00E44132">
        <w:t>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Embora a drenagem do sistema biliar obstruído (“controle de foco”) seja reconhecida como o pilar terapêutico fundamental na </w:t>
      </w:r>
      <w:proofErr w:type="spellStart"/>
      <w:r w:rsidRPr="00E44132">
        <w:t>colangite</w:t>
      </w:r>
      <w:proofErr w:type="spellEnd"/>
      <w:r w:rsidRPr="00E44132">
        <w:t xml:space="preserve"> aguda, o </w:t>
      </w:r>
      <w:r w:rsidRPr="005314EA">
        <w:rPr>
          <w:color w:val="FF0000"/>
        </w:rPr>
        <w:t>papel dos antimicrobianos</w:t>
      </w:r>
      <w:r w:rsidRPr="00E44132">
        <w:t xml:space="preserve"> é </w:t>
      </w:r>
      <w:r w:rsidRPr="005314EA">
        <w:rPr>
          <w:color w:val="E36C0A" w:themeColor="accent6" w:themeShade="BF"/>
        </w:rPr>
        <w:t>permitir estabilização clínica</w:t>
      </w:r>
      <w:r w:rsidRPr="00E44132">
        <w:t xml:space="preserve"> suficiente para que a </w:t>
      </w:r>
      <w:r w:rsidRPr="005314EA">
        <w:rPr>
          <w:color w:val="E36C0A" w:themeColor="accent6" w:themeShade="BF"/>
        </w:rPr>
        <w:t xml:space="preserve">drenagem possa ser realizada de forma </w:t>
      </w:r>
      <w:r w:rsidRPr="005314EA">
        <w:rPr>
          <w:bCs/>
          <w:color w:val="E36C0A" w:themeColor="accent6" w:themeShade="BF"/>
        </w:rPr>
        <w:t>eletiva</w:t>
      </w:r>
      <w:r w:rsidRPr="00E44132">
        <w:t xml:space="preserve">, evitando intervenções emergenciais. Estudos demonstram que </w:t>
      </w:r>
      <w:r w:rsidRPr="005314EA">
        <w:rPr>
          <w:b/>
          <w:bCs/>
          <w:color w:val="E36C0A" w:themeColor="accent6" w:themeShade="BF"/>
        </w:rPr>
        <w:t>53%</w:t>
      </w:r>
      <w:r w:rsidRPr="00E44132">
        <w:t xml:space="preserve"> dos pacientes que apresentaram </w:t>
      </w:r>
      <w:r w:rsidRPr="005314EA">
        <w:rPr>
          <w:color w:val="E36C0A" w:themeColor="accent6" w:themeShade="BF"/>
        </w:rPr>
        <w:t>boa resposta clínica</w:t>
      </w:r>
      <w:r w:rsidRPr="00E44132">
        <w:t xml:space="preserve"> à </w:t>
      </w:r>
      <w:proofErr w:type="spellStart"/>
      <w:r w:rsidRPr="005314EA">
        <w:rPr>
          <w:color w:val="E36C0A" w:themeColor="accent6" w:themeShade="BF"/>
        </w:rPr>
        <w:t>antibioticoterapia</w:t>
      </w:r>
      <w:proofErr w:type="spellEnd"/>
      <w:r w:rsidRPr="00E44132">
        <w:t xml:space="preserve"> puderam ser submetidos a </w:t>
      </w:r>
      <w:r w:rsidRPr="005314EA">
        <w:rPr>
          <w:color w:val="E36C0A" w:themeColor="accent6" w:themeShade="BF"/>
        </w:rPr>
        <w:t>procedimentos eletivos</w:t>
      </w:r>
      <w:r w:rsidRPr="00E44132">
        <w:t xml:space="preserve"> em vez de intervenções de urgência.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Na </w:t>
      </w:r>
      <w:proofErr w:type="spellStart"/>
      <w:r w:rsidRPr="005314EA">
        <w:rPr>
          <w:color w:val="FF0000"/>
        </w:rPr>
        <w:t>colecistite</w:t>
      </w:r>
      <w:proofErr w:type="spellEnd"/>
      <w:r w:rsidRPr="005314EA">
        <w:rPr>
          <w:color w:val="FF0000"/>
        </w:rPr>
        <w:t xml:space="preserve"> aguda</w:t>
      </w:r>
      <w:r w:rsidRPr="00E44132">
        <w:t xml:space="preserve">, a importância da </w:t>
      </w:r>
      <w:proofErr w:type="spellStart"/>
      <w:r w:rsidRPr="001301C1">
        <w:rPr>
          <w:color w:val="E36C0A" w:themeColor="accent6" w:themeShade="BF"/>
        </w:rPr>
        <w:t>antibioticoterapia</w:t>
      </w:r>
      <w:proofErr w:type="spellEnd"/>
      <w:r w:rsidRPr="00E44132">
        <w:t xml:space="preserve"> varia conforme o grau de gravidade e o estágio fisiopatológico. Nos casos iniciais e não complicados (classificados como </w:t>
      </w:r>
      <w:r w:rsidRPr="001301C1">
        <w:rPr>
          <w:b/>
          <w:bCs/>
          <w:color w:val="FF0000"/>
        </w:rPr>
        <w:t>Grau I</w:t>
      </w:r>
      <w:r w:rsidRPr="00E44132">
        <w:t xml:space="preserve">), </w:t>
      </w:r>
      <w:r>
        <w:t>o papel etiológico bacteriano pode ser limitado</w:t>
      </w:r>
      <w:r w:rsidRPr="00E44132">
        <w:t xml:space="preserve">, e a </w:t>
      </w:r>
      <w:proofErr w:type="spellStart"/>
      <w:r w:rsidRPr="00E44132">
        <w:t>antibioticoterapia</w:t>
      </w:r>
      <w:proofErr w:type="spellEnd"/>
      <w:r w:rsidRPr="00E44132">
        <w:t xml:space="preserve"> exerce papel predominantemente </w:t>
      </w:r>
      <w:r w:rsidRPr="001301C1">
        <w:rPr>
          <w:bCs/>
          <w:color w:val="E36C0A" w:themeColor="accent6" w:themeShade="BF"/>
        </w:rPr>
        <w:t>profilático</w:t>
      </w:r>
      <w:r w:rsidRPr="00E44132">
        <w:t xml:space="preserve">, destinada a </w:t>
      </w:r>
      <w:r w:rsidRPr="001301C1">
        <w:rPr>
          <w:color w:val="E36C0A" w:themeColor="accent6" w:themeShade="BF"/>
        </w:rPr>
        <w:t>evitar progressão infecciosa</w:t>
      </w:r>
      <w:r w:rsidRPr="00E44132">
        <w:t xml:space="preserve">. Nos quadros mais avançados — </w:t>
      </w:r>
      <w:r w:rsidRPr="001301C1">
        <w:rPr>
          <w:b/>
          <w:color w:val="FF0000"/>
        </w:rPr>
        <w:t>moderados ou graves</w:t>
      </w:r>
      <w:r w:rsidRPr="00E44132">
        <w:t xml:space="preserve"> — caracterizados pela presença de resposta inflamatória sistêmica, a </w:t>
      </w:r>
      <w:proofErr w:type="spellStart"/>
      <w:r w:rsidRPr="00E44132">
        <w:t>antibioticoterapia</w:t>
      </w:r>
      <w:proofErr w:type="spellEnd"/>
      <w:r w:rsidRPr="00E44132">
        <w:t xml:space="preserve"> é </w:t>
      </w:r>
      <w:r w:rsidRPr="001301C1">
        <w:rPr>
          <w:color w:val="E36C0A" w:themeColor="accent6" w:themeShade="BF"/>
        </w:rPr>
        <w:t xml:space="preserve">claramente </w:t>
      </w:r>
      <w:r w:rsidRPr="001301C1">
        <w:rPr>
          <w:bCs/>
          <w:color w:val="E36C0A" w:themeColor="accent6" w:themeShade="BF"/>
        </w:rPr>
        <w:t>terapêutica</w:t>
      </w:r>
      <w:r w:rsidRPr="00E44132">
        <w:t xml:space="preserve"> e deve ser </w:t>
      </w:r>
      <w:r w:rsidRPr="001301C1">
        <w:rPr>
          <w:color w:val="E36C0A" w:themeColor="accent6" w:themeShade="BF"/>
        </w:rPr>
        <w:t>mantida</w:t>
      </w:r>
      <w:r w:rsidRPr="00E44132">
        <w:t xml:space="preserve"> </w:t>
      </w:r>
      <w:r w:rsidRPr="001301C1">
        <w:rPr>
          <w:color w:val="E36C0A" w:themeColor="accent6" w:themeShade="BF"/>
        </w:rPr>
        <w:t>até</w:t>
      </w:r>
      <w:r w:rsidRPr="00E44132">
        <w:t xml:space="preserve"> que a </w:t>
      </w:r>
      <w:proofErr w:type="spellStart"/>
      <w:r w:rsidRPr="001301C1">
        <w:rPr>
          <w:color w:val="E36C0A" w:themeColor="accent6" w:themeShade="BF"/>
        </w:rPr>
        <w:t>colecistectomia</w:t>
      </w:r>
      <w:proofErr w:type="spellEnd"/>
      <w:r w:rsidRPr="001301C1">
        <w:rPr>
          <w:color w:val="E36C0A" w:themeColor="accent6" w:themeShade="BF"/>
        </w:rPr>
        <w:t xml:space="preserve"> seja realizada</w:t>
      </w:r>
      <w:r w:rsidRPr="00E44132">
        <w:t xml:space="preserve"> e o </w:t>
      </w:r>
      <w:r w:rsidRPr="001301C1">
        <w:rPr>
          <w:color w:val="E36C0A" w:themeColor="accent6" w:themeShade="BF"/>
        </w:rPr>
        <w:t>foco infeccioso removido</w:t>
      </w:r>
      <w:r w:rsidRPr="00E44132">
        <w:t>.</w:t>
      </w:r>
    </w:p>
    <w:p w:rsidR="00637A52" w:rsidRDefault="00E44132" w:rsidP="00637A52">
      <w:pPr>
        <w:jc w:val="both"/>
      </w:pPr>
      <w:r>
        <w:t xml:space="preserve">   </w:t>
      </w:r>
      <w:r w:rsidR="00637A52" w:rsidRPr="00637A52">
        <w:t xml:space="preserve">As </w:t>
      </w:r>
      <w:r w:rsidR="00637A52" w:rsidRPr="00EE4962">
        <w:rPr>
          <w:color w:val="E36C0A" w:themeColor="accent6" w:themeShade="BF"/>
        </w:rPr>
        <w:t>bactérias</w:t>
      </w:r>
      <w:r w:rsidR="00637A52" w:rsidRPr="00637A52">
        <w:t xml:space="preserve"> mais frequentemente </w:t>
      </w:r>
      <w:r w:rsidR="00637A52" w:rsidRPr="00EE4962">
        <w:rPr>
          <w:color w:val="E36C0A" w:themeColor="accent6" w:themeShade="BF"/>
        </w:rPr>
        <w:t>identificadas</w:t>
      </w:r>
      <w:r w:rsidR="00637A52" w:rsidRPr="00637A52">
        <w:t xml:space="preserve"> nas infecções do </w:t>
      </w:r>
      <w:r w:rsidR="00637A52" w:rsidRPr="00EE4962">
        <w:rPr>
          <w:color w:val="E36C0A" w:themeColor="accent6" w:themeShade="BF"/>
        </w:rPr>
        <w:t>trato biliar</w:t>
      </w:r>
      <w:r w:rsidR="00637A52" w:rsidRPr="00637A52">
        <w:t xml:space="preserve"> encontram-se bem estabelecidas na literatura. Entre os microrganismos predominantes na </w:t>
      </w:r>
      <w:proofErr w:type="spellStart"/>
      <w:r w:rsidR="00637A52" w:rsidRPr="00637A52">
        <w:t>Colangite</w:t>
      </w:r>
      <w:proofErr w:type="spellEnd"/>
      <w:r w:rsidR="00637A52" w:rsidRPr="00637A52">
        <w:t xml:space="preserve"> Aguda e na </w:t>
      </w:r>
      <w:proofErr w:type="spellStart"/>
      <w:r w:rsidR="00637A52" w:rsidRPr="00637A52">
        <w:t>Colecistite</w:t>
      </w:r>
      <w:proofErr w:type="spellEnd"/>
      <w:r w:rsidR="00637A52" w:rsidRPr="00637A52">
        <w:t xml:space="preserve"> Aguda destacam-se </w:t>
      </w:r>
      <w:proofErr w:type="spellStart"/>
      <w:r w:rsidR="00637A52" w:rsidRPr="00EE4962">
        <w:rPr>
          <w:bCs/>
          <w:i/>
          <w:iCs/>
          <w:color w:val="FF0000"/>
        </w:rPr>
        <w:t>Escherichia</w:t>
      </w:r>
      <w:proofErr w:type="spellEnd"/>
      <w:r w:rsidR="00637A52" w:rsidRPr="00EE4962">
        <w:rPr>
          <w:bCs/>
          <w:i/>
          <w:iCs/>
          <w:color w:val="FF0000"/>
        </w:rPr>
        <w:t xml:space="preserve"> coli</w:t>
      </w:r>
      <w:r w:rsidR="00637A52" w:rsidRPr="00637A52">
        <w:t xml:space="preserve">, </w:t>
      </w:r>
      <w:proofErr w:type="spellStart"/>
      <w:r w:rsidR="00637A52" w:rsidRPr="00EE4962">
        <w:rPr>
          <w:bCs/>
          <w:i/>
          <w:iCs/>
          <w:color w:val="FF0000"/>
        </w:rPr>
        <w:t>Klebsiella</w:t>
      </w:r>
      <w:proofErr w:type="spellEnd"/>
      <w:r w:rsidR="00637A52" w:rsidRPr="00EE4962">
        <w:rPr>
          <w:bCs/>
          <w:color w:val="FF0000"/>
        </w:rPr>
        <w:t xml:space="preserve"> </w:t>
      </w:r>
      <w:proofErr w:type="spellStart"/>
      <w:r w:rsidR="00637A52" w:rsidRPr="00EE4962">
        <w:rPr>
          <w:bCs/>
          <w:color w:val="FF0000"/>
        </w:rPr>
        <w:t>spp</w:t>
      </w:r>
      <w:proofErr w:type="spellEnd"/>
      <w:proofErr w:type="gramStart"/>
      <w:r w:rsidR="00637A52" w:rsidRPr="00EE4962">
        <w:rPr>
          <w:bCs/>
          <w:color w:val="FF0000"/>
        </w:rPr>
        <w:t>.</w:t>
      </w:r>
      <w:r w:rsidR="00637A52" w:rsidRPr="00637A52">
        <w:t>,</w:t>
      </w:r>
      <w:proofErr w:type="gramEnd"/>
      <w:r w:rsidR="00637A52" w:rsidRPr="00637A52">
        <w:t xml:space="preserve"> </w:t>
      </w:r>
      <w:proofErr w:type="spellStart"/>
      <w:r w:rsidR="00637A52" w:rsidRPr="00EE4962">
        <w:rPr>
          <w:bCs/>
          <w:i/>
          <w:iCs/>
          <w:color w:val="FF0000"/>
        </w:rPr>
        <w:t>Enterococcus</w:t>
      </w:r>
      <w:proofErr w:type="spellEnd"/>
      <w:r w:rsidR="00637A52" w:rsidRPr="00EE4962">
        <w:rPr>
          <w:bCs/>
          <w:color w:val="FF0000"/>
        </w:rPr>
        <w:t xml:space="preserve"> </w:t>
      </w:r>
      <w:proofErr w:type="spellStart"/>
      <w:r w:rsidR="00637A52" w:rsidRPr="00EE4962">
        <w:rPr>
          <w:bCs/>
          <w:color w:val="FF0000"/>
        </w:rPr>
        <w:t>spp</w:t>
      </w:r>
      <w:proofErr w:type="spellEnd"/>
      <w:r w:rsidR="00637A52" w:rsidRPr="00EE4962">
        <w:rPr>
          <w:b/>
          <w:bCs/>
          <w:color w:val="FF0000"/>
        </w:rPr>
        <w:t>.</w:t>
      </w:r>
      <w:r w:rsidR="00637A52" w:rsidRPr="00637A52">
        <w:t xml:space="preserve"> </w:t>
      </w:r>
      <w:proofErr w:type="gramStart"/>
      <w:r w:rsidR="00637A52" w:rsidRPr="00637A52">
        <w:t>e</w:t>
      </w:r>
      <w:proofErr w:type="gramEnd"/>
      <w:r w:rsidR="00637A52" w:rsidRPr="00637A52">
        <w:t xml:space="preserve"> </w:t>
      </w:r>
      <w:proofErr w:type="spellStart"/>
      <w:r w:rsidR="00637A52" w:rsidRPr="00EE4962">
        <w:rPr>
          <w:bCs/>
          <w:i/>
          <w:iCs/>
          <w:color w:val="FF0000"/>
        </w:rPr>
        <w:t>Pseudomonas</w:t>
      </w:r>
      <w:proofErr w:type="spellEnd"/>
      <w:r w:rsidR="00637A52" w:rsidRPr="00EE4962">
        <w:rPr>
          <w:bCs/>
          <w:color w:val="FF0000"/>
        </w:rPr>
        <w:t xml:space="preserve"> </w:t>
      </w:r>
      <w:proofErr w:type="spellStart"/>
      <w:r w:rsidR="00637A52" w:rsidRPr="00EE4962">
        <w:rPr>
          <w:bCs/>
          <w:color w:val="FF0000"/>
        </w:rPr>
        <w:t>spp</w:t>
      </w:r>
      <w:proofErr w:type="spellEnd"/>
      <w:r w:rsidR="00637A52" w:rsidRPr="00EE4962">
        <w:rPr>
          <w:bCs/>
          <w:color w:val="FF0000"/>
        </w:rPr>
        <w:t>.</w:t>
      </w:r>
      <w:r w:rsidR="00637A52" w:rsidRPr="00637A52">
        <w:t>, que correspondem à maior proporção dos isolados em culturas biliares e hemoculturas em séries</w:t>
      </w:r>
      <w:r w:rsidR="00637A52">
        <w:t xml:space="preserve"> clínicas.</w:t>
      </w:r>
    </w:p>
    <w:p w:rsidR="00F77CC3" w:rsidRDefault="00F77CC3" w:rsidP="00A31ECD">
      <w:pPr>
        <w:jc w:val="both"/>
      </w:pPr>
    </w:p>
    <w:p w:rsidR="00637A52" w:rsidRDefault="00637A52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Pr="00EE4962" w:rsidRDefault="00F77CC3" w:rsidP="00EE4962">
      <w:pPr>
        <w:jc w:val="center"/>
        <w:rPr>
          <w:b/>
          <w:sz w:val="20"/>
        </w:rPr>
      </w:pPr>
      <w:r w:rsidRPr="00EE4962">
        <w:rPr>
          <w:b/>
          <w:sz w:val="20"/>
        </w:rPr>
        <w:t>Microrganismos mais frequentemente isolados em culturas biliares e hemoculturas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r w:rsidRPr="00EE4962">
        <w:rPr>
          <w:b/>
          <w:color w:val="FF0000"/>
          <w:sz w:val="20"/>
        </w:rPr>
        <w:t>Microrganismos isolados</w:t>
      </w:r>
      <w:r w:rsidRPr="00EE4962">
        <w:rPr>
          <w:b/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color w:val="FF0000"/>
          <w:sz w:val="20"/>
        </w:rPr>
        <w:t>Proporção dos microrganismos isolados (%)</w:t>
      </w:r>
    </w:p>
    <w:p w:rsidR="00F77CC3" w:rsidRPr="00EE4962" w:rsidRDefault="00EE4962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20"/>
          <w:u w:val="single"/>
        </w:rPr>
      </w:pPr>
      <w:r w:rsidRPr="00EE4962">
        <w:rPr>
          <w:sz w:val="20"/>
          <w:u w:val="single"/>
        </w:rPr>
        <w:t>Bactérias Gram-negativas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Escherichia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coli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31–44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Klebsiella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i/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9–20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Pseudomonas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i/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0.5–19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Enterobacter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i/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5–9</w:t>
      </w:r>
    </w:p>
    <w:p w:rsidR="00F77CC3" w:rsidRPr="00EE4962" w:rsidRDefault="00EE4962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20"/>
          <w:u w:val="single"/>
        </w:rPr>
      </w:pPr>
      <w:r w:rsidRPr="00EE4962">
        <w:rPr>
          <w:sz w:val="20"/>
          <w:u w:val="single"/>
        </w:rPr>
        <w:t>Bactérias Gram-positivas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Enterococcus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i/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3–34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Streptococcus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2–10</w:t>
      </w:r>
    </w:p>
    <w:p w:rsidR="00F77CC3" w:rsidRPr="00EE4962" w:rsidRDefault="00F77CC3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proofErr w:type="spellStart"/>
      <w:r w:rsidRPr="00EE4962">
        <w:rPr>
          <w:i/>
          <w:color w:val="E36C0A" w:themeColor="accent6" w:themeShade="BF"/>
          <w:sz w:val="20"/>
        </w:rPr>
        <w:t>Staphylococcus</w:t>
      </w:r>
      <w:proofErr w:type="spellEnd"/>
      <w:r w:rsidRPr="00EE4962">
        <w:rPr>
          <w:i/>
          <w:color w:val="E36C0A" w:themeColor="accent6" w:themeShade="BF"/>
          <w:sz w:val="20"/>
        </w:rPr>
        <w:t xml:space="preserve"> </w:t>
      </w:r>
      <w:proofErr w:type="spellStart"/>
      <w:r w:rsidRPr="00EE4962">
        <w:rPr>
          <w:i/>
          <w:color w:val="E36C0A" w:themeColor="accent6" w:themeShade="BF"/>
          <w:sz w:val="20"/>
        </w:rPr>
        <w:t>spp</w:t>
      </w:r>
      <w:proofErr w:type="spellEnd"/>
      <w:r w:rsidRPr="00EE4962">
        <w:rPr>
          <w:i/>
          <w:color w:val="E36C0A" w:themeColor="accent6" w:themeShade="BF"/>
          <w:sz w:val="20"/>
        </w:rPr>
        <w:t>.</w:t>
      </w:r>
      <w:r w:rsidRPr="00EE4962">
        <w:rPr>
          <w:sz w:val="20"/>
        </w:rPr>
        <w:t xml:space="preserve"> </w:t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sz w:val="20"/>
        </w:rPr>
        <w:tab/>
      </w:r>
      <w:r w:rsidRPr="00EE4962">
        <w:rPr>
          <w:b/>
          <w:sz w:val="20"/>
        </w:rPr>
        <w:t>0 - 4</w:t>
      </w:r>
    </w:p>
    <w:p w:rsidR="00F77CC3" w:rsidRPr="00EE4962" w:rsidRDefault="00EE4962" w:rsidP="00EE496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0"/>
        </w:rPr>
      </w:pPr>
      <w:r w:rsidRPr="00EE4962">
        <w:rPr>
          <w:i/>
          <w:color w:val="E36C0A" w:themeColor="accent6" w:themeShade="BF"/>
          <w:sz w:val="20"/>
        </w:rPr>
        <w:t>Anaeróbios</w:t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F77CC3" w:rsidRPr="00EE4962">
        <w:rPr>
          <w:sz w:val="20"/>
        </w:rPr>
        <w:tab/>
      </w:r>
      <w:r w:rsidR="00637A52" w:rsidRPr="00EE4962">
        <w:rPr>
          <w:b/>
          <w:sz w:val="20"/>
        </w:rPr>
        <w:t>1</w:t>
      </w:r>
      <w:r w:rsidR="00F77CC3" w:rsidRPr="00EE4962">
        <w:rPr>
          <w:b/>
          <w:sz w:val="20"/>
        </w:rPr>
        <w:t>–20</w:t>
      </w:r>
    </w:p>
    <w:p w:rsidR="00F77CC3" w:rsidRDefault="00F77CC3" w:rsidP="00A31ECD">
      <w:pPr>
        <w:jc w:val="both"/>
      </w:pPr>
    </w:p>
    <w:p w:rsidR="00F77CC3" w:rsidRDefault="00FA4C36" w:rsidP="00A31ECD">
      <w:pPr>
        <w:jc w:val="both"/>
      </w:pPr>
      <w:r>
        <w:t xml:space="preserve">   </w:t>
      </w:r>
      <w:r w:rsidR="00637A52">
        <w:t>Há uma escassez na literatura, que avalie</w:t>
      </w:r>
      <w:r w:rsidR="00637A52" w:rsidRPr="00637A52">
        <w:t xml:space="preserve"> de forma robusta o benefício das </w:t>
      </w:r>
      <w:r w:rsidR="00637A52" w:rsidRPr="00EE4962">
        <w:rPr>
          <w:b/>
          <w:color w:val="FF0000"/>
        </w:rPr>
        <w:t>hemoculturas</w:t>
      </w:r>
      <w:r w:rsidR="00637A52" w:rsidRPr="00637A52">
        <w:t xml:space="preserve"> em pacientes com infecções agudas do trato biliar. Por outro lado, argumenta-se que toda oportunidade deve ser aproveitada para a identificação dos microrganismos envolvidos e para a realização de testes de suscetibilidade, especialmente na era atual de crescente resistência antimicrobiana.</w:t>
      </w:r>
    </w:p>
    <w:p w:rsidR="00637A52" w:rsidRPr="00637A52" w:rsidRDefault="00637A52" w:rsidP="00637A52">
      <w:pPr>
        <w:jc w:val="both"/>
      </w:pPr>
      <w:r>
        <w:t xml:space="preserve">   A </w:t>
      </w:r>
      <w:r w:rsidRPr="00EE4962">
        <w:rPr>
          <w:color w:val="E36C0A" w:themeColor="accent6" w:themeShade="BF"/>
        </w:rPr>
        <w:t>recomendação</w:t>
      </w:r>
      <w:r>
        <w:t xml:space="preserve"> é</w:t>
      </w:r>
      <w:r w:rsidRPr="00637A52">
        <w:t xml:space="preserve"> que </w:t>
      </w:r>
      <w:r w:rsidRPr="00EE4962">
        <w:rPr>
          <w:b/>
          <w:bCs/>
          <w:color w:val="FF0000"/>
        </w:rPr>
        <w:t>hemoculturas</w:t>
      </w:r>
      <w:r w:rsidRPr="00637A52">
        <w:rPr>
          <w:bCs/>
        </w:rPr>
        <w:t xml:space="preserve"> se</w:t>
      </w:r>
      <w:r w:rsidR="00AB5048">
        <w:rPr>
          <w:bCs/>
        </w:rPr>
        <w:t xml:space="preserve">jam </w:t>
      </w:r>
      <w:r w:rsidR="00AB5048" w:rsidRPr="00EE4962">
        <w:rPr>
          <w:b/>
          <w:bCs/>
          <w:color w:val="E36C0A" w:themeColor="accent6" w:themeShade="BF"/>
        </w:rPr>
        <w:t>coletadas</w:t>
      </w:r>
      <w:r w:rsidRPr="00EE4962">
        <w:rPr>
          <w:b/>
          <w:bCs/>
          <w:color w:val="E36C0A" w:themeColor="accent6" w:themeShade="BF"/>
        </w:rPr>
        <w:t xml:space="preserve"> apenas</w:t>
      </w:r>
      <w:r w:rsidRPr="00637A52">
        <w:rPr>
          <w:bCs/>
        </w:rPr>
        <w:t xml:space="preserve"> nos casos de </w:t>
      </w:r>
      <w:r w:rsidRPr="00EE4962">
        <w:rPr>
          <w:bCs/>
          <w:color w:val="E36C0A" w:themeColor="accent6" w:themeShade="BF"/>
        </w:rPr>
        <w:t>infecções</w:t>
      </w:r>
      <w:r w:rsidRPr="00637A52">
        <w:rPr>
          <w:bCs/>
        </w:rPr>
        <w:t xml:space="preserve"> de </w:t>
      </w:r>
      <w:r w:rsidRPr="00EE4962">
        <w:rPr>
          <w:bCs/>
          <w:color w:val="E36C0A" w:themeColor="accent6" w:themeShade="BF"/>
        </w:rPr>
        <w:t>maior gravidade</w:t>
      </w:r>
      <w:r w:rsidRPr="00637A52">
        <w:t>, nos quais os resultados possam efetivamente determinar ajustes terapêuticos.</w:t>
      </w:r>
    </w:p>
    <w:p w:rsidR="00637A52" w:rsidRPr="00637A52" w:rsidRDefault="00AB5048" w:rsidP="00637A52">
      <w:pPr>
        <w:jc w:val="both"/>
      </w:pPr>
      <w:r>
        <w:t xml:space="preserve">   </w:t>
      </w:r>
      <w:r w:rsidR="00637A52" w:rsidRPr="00637A52">
        <w:t xml:space="preserve">As </w:t>
      </w:r>
      <w:r w:rsidR="00637A52" w:rsidRPr="00EE4962">
        <w:rPr>
          <w:b/>
          <w:color w:val="FF0000"/>
        </w:rPr>
        <w:t>hemoculturas</w:t>
      </w:r>
      <w:r w:rsidR="00637A52" w:rsidRPr="00637A52">
        <w:t xml:space="preserve"> </w:t>
      </w:r>
      <w:r w:rsidR="00637A52" w:rsidRPr="00EE4962">
        <w:rPr>
          <w:bCs/>
          <w:color w:val="E36C0A" w:themeColor="accent6" w:themeShade="BF"/>
        </w:rPr>
        <w:t>não são rotineiramente recomendadas</w:t>
      </w:r>
      <w:r w:rsidR="00637A52" w:rsidRPr="00637A52">
        <w:t xml:space="preserve"> para pacientes com </w:t>
      </w:r>
      <w:proofErr w:type="spellStart"/>
      <w:r w:rsidR="00637A52" w:rsidRPr="00637A52">
        <w:rPr>
          <w:bCs/>
        </w:rPr>
        <w:t>colecistite</w:t>
      </w:r>
      <w:proofErr w:type="spellEnd"/>
      <w:r w:rsidR="00637A52" w:rsidRPr="00637A52">
        <w:rPr>
          <w:bCs/>
        </w:rPr>
        <w:t xml:space="preserve"> aguda adquirida na comunidade de </w:t>
      </w:r>
      <w:r w:rsidR="00637A52" w:rsidRPr="00EE4962">
        <w:rPr>
          <w:b/>
          <w:bCs/>
          <w:color w:val="E36C0A" w:themeColor="accent6" w:themeShade="BF"/>
        </w:rPr>
        <w:t>Grau I</w:t>
      </w:r>
      <w:r w:rsidR="00637A52" w:rsidRPr="00637A52">
        <w:t>, segundo os critérios das diretrizes internacionais.</w:t>
      </w:r>
    </w:p>
    <w:p w:rsidR="00A31ECD" w:rsidRDefault="00A31ECD" w:rsidP="00A31ECD">
      <w:pPr>
        <w:jc w:val="both"/>
      </w:pPr>
    </w:p>
    <w:p w:rsidR="00EE4962" w:rsidRDefault="00EE4962" w:rsidP="00A31ECD">
      <w:pPr>
        <w:jc w:val="both"/>
      </w:pPr>
    </w:p>
    <w:p w:rsidR="00EE4962" w:rsidRDefault="00EE4962" w:rsidP="00A31ECD">
      <w:pPr>
        <w:jc w:val="both"/>
      </w:pPr>
    </w:p>
    <w:p w:rsidR="00EE4962" w:rsidRDefault="00EE4962" w:rsidP="00A31ECD">
      <w:pPr>
        <w:jc w:val="both"/>
      </w:pPr>
    </w:p>
    <w:p w:rsidR="00EE4962" w:rsidRDefault="00EE4962" w:rsidP="00A31ECD">
      <w:pPr>
        <w:jc w:val="both"/>
      </w:pPr>
    </w:p>
    <w:p w:rsidR="00A31ECD" w:rsidRPr="00BA6A4B" w:rsidRDefault="00941512" w:rsidP="00BA6A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20"/>
        </w:rPr>
      </w:pPr>
      <w:r w:rsidRPr="00BA6A4B">
        <w:rPr>
          <w:b/>
          <w:sz w:val="20"/>
        </w:rPr>
        <w:lastRenderedPageBreak/>
        <w:t>Diretrizes terapêuticas para o uso de antimicrobianos nas infecções biliares agudas</w:t>
      </w:r>
    </w:p>
    <w:p w:rsidR="00941512" w:rsidRPr="00EE4962" w:rsidRDefault="00941512" w:rsidP="00941512">
      <w:pPr>
        <w:jc w:val="both"/>
        <w:rPr>
          <w:sz w:val="20"/>
        </w:rPr>
      </w:pPr>
      <w:r w:rsidRPr="00EE4962">
        <w:rPr>
          <w:sz w:val="20"/>
        </w:rPr>
        <w:t xml:space="preserve">                                                                                                                                                                             </w:t>
      </w:r>
    </w:p>
    <w:p w:rsidR="00BA6A4B" w:rsidRPr="00BA6A4B" w:rsidRDefault="00941512" w:rsidP="00BA6A4B">
      <w:pPr>
        <w:pStyle w:val="PargrafodaLista"/>
        <w:numPr>
          <w:ilvl w:val="0"/>
          <w:numId w:val="6"/>
        </w:numPr>
        <w:jc w:val="both"/>
        <w:rPr>
          <w:b/>
          <w:color w:val="FF0000"/>
          <w:sz w:val="20"/>
        </w:rPr>
      </w:pPr>
      <w:proofErr w:type="spellStart"/>
      <w:r w:rsidRPr="00BA6A4B">
        <w:rPr>
          <w:b/>
          <w:color w:val="FF0000"/>
          <w:sz w:val="20"/>
        </w:rPr>
        <w:t>Colecistite</w:t>
      </w:r>
      <w:proofErr w:type="spellEnd"/>
      <w:r w:rsidRPr="00BA6A4B">
        <w:rPr>
          <w:b/>
          <w:color w:val="FF0000"/>
          <w:sz w:val="20"/>
        </w:rPr>
        <w:t xml:space="preserve"> e </w:t>
      </w:r>
      <w:proofErr w:type="spellStart"/>
      <w:r w:rsidRPr="00BA6A4B">
        <w:rPr>
          <w:b/>
          <w:color w:val="FF0000"/>
          <w:sz w:val="20"/>
        </w:rPr>
        <w:t>Colangite</w:t>
      </w:r>
      <w:proofErr w:type="spellEnd"/>
      <w:r w:rsidRPr="00BA6A4B">
        <w:rPr>
          <w:b/>
          <w:color w:val="FF0000"/>
          <w:sz w:val="20"/>
        </w:rPr>
        <w:t xml:space="preserve"> Grau I</w:t>
      </w:r>
      <w:r w:rsidRPr="00BA6A4B">
        <w:rPr>
          <w:b/>
          <w:color w:val="FF0000"/>
          <w:sz w:val="20"/>
        </w:rPr>
        <w:tab/>
      </w:r>
    </w:p>
    <w:p w:rsidR="00941512" w:rsidRPr="00BA6A4B" w:rsidRDefault="00941512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Ceftriaxona</w:t>
      </w:r>
      <w:proofErr w:type="spellEnd"/>
    </w:p>
    <w:p w:rsid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Cefazolina</w:t>
      </w:r>
      <w:proofErr w:type="spellEnd"/>
      <w:r w:rsidRPr="00BA6A4B">
        <w:rPr>
          <w:b/>
          <w:color w:val="E36C0A" w:themeColor="accent6" w:themeShade="BF"/>
          <w:sz w:val="20"/>
        </w:rPr>
        <w:t xml:space="preserve"> (</w:t>
      </w:r>
      <w:proofErr w:type="spellStart"/>
      <w:r w:rsidRPr="00BA6A4B">
        <w:rPr>
          <w:b/>
          <w:color w:val="E36C0A" w:themeColor="accent6" w:themeShade="BF"/>
          <w:sz w:val="20"/>
        </w:rPr>
        <w:t>kefazol</w:t>
      </w:r>
      <w:proofErr w:type="spellEnd"/>
      <w:r w:rsidRPr="00BA6A4B">
        <w:rPr>
          <w:b/>
          <w:color w:val="E36C0A" w:themeColor="accent6" w:themeShade="BF"/>
          <w:sz w:val="20"/>
        </w:rPr>
        <w:t>)</w:t>
      </w:r>
    </w:p>
    <w:p w:rsidR="00941512" w:rsidRPr="00BA6A4B" w:rsidRDefault="00941512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Ciprofloxacina</w:t>
      </w:r>
      <w:proofErr w:type="spellEnd"/>
    </w:p>
    <w:p w:rsidR="00BA6A4B" w:rsidRPr="00BA6A4B" w:rsidRDefault="00941512" w:rsidP="00BA6A4B">
      <w:pPr>
        <w:pStyle w:val="PargrafodaLista"/>
        <w:numPr>
          <w:ilvl w:val="0"/>
          <w:numId w:val="6"/>
        </w:numPr>
        <w:jc w:val="both"/>
        <w:rPr>
          <w:b/>
          <w:color w:val="FF0000"/>
          <w:sz w:val="20"/>
        </w:rPr>
      </w:pPr>
      <w:proofErr w:type="spellStart"/>
      <w:r w:rsidRPr="00BA6A4B">
        <w:rPr>
          <w:b/>
          <w:color w:val="FF0000"/>
          <w:sz w:val="20"/>
        </w:rPr>
        <w:t>Colecistite</w:t>
      </w:r>
      <w:proofErr w:type="spellEnd"/>
      <w:r w:rsidRPr="00BA6A4B">
        <w:rPr>
          <w:b/>
          <w:color w:val="FF0000"/>
          <w:sz w:val="20"/>
        </w:rPr>
        <w:t xml:space="preserve"> e </w:t>
      </w:r>
      <w:proofErr w:type="spellStart"/>
      <w:r w:rsidRPr="00BA6A4B">
        <w:rPr>
          <w:b/>
          <w:color w:val="FF0000"/>
          <w:sz w:val="20"/>
        </w:rPr>
        <w:t>Colangite</w:t>
      </w:r>
      <w:proofErr w:type="spellEnd"/>
      <w:r w:rsidRPr="00BA6A4B">
        <w:rPr>
          <w:b/>
          <w:color w:val="FF0000"/>
          <w:sz w:val="20"/>
        </w:rPr>
        <w:t xml:space="preserve"> Grau II</w:t>
      </w:r>
      <w:r w:rsidR="0014276A" w:rsidRPr="00BA6A4B">
        <w:rPr>
          <w:b/>
          <w:color w:val="FF0000"/>
          <w:sz w:val="20"/>
        </w:rPr>
        <w:tab/>
      </w:r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Ceftriaxona</w:t>
      </w:r>
      <w:proofErr w:type="spellEnd"/>
    </w:p>
    <w:p w:rsidR="0014276A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Cefotaxime</w:t>
      </w:r>
      <w:proofErr w:type="spellEnd"/>
      <w:r w:rsidRPr="00BA6A4B">
        <w:rPr>
          <w:b/>
          <w:color w:val="E36C0A" w:themeColor="accent6" w:themeShade="BF"/>
          <w:sz w:val="20"/>
        </w:rPr>
        <w:t xml:space="preserve"> (</w:t>
      </w:r>
      <w:proofErr w:type="spellStart"/>
      <w:r w:rsidRPr="00BA6A4B">
        <w:rPr>
          <w:b/>
          <w:color w:val="E36C0A" w:themeColor="accent6" w:themeShade="BF"/>
          <w:sz w:val="20"/>
        </w:rPr>
        <w:t>Claforan</w:t>
      </w:r>
      <w:proofErr w:type="spellEnd"/>
      <w:r w:rsidRPr="00BA6A4B">
        <w:rPr>
          <w:b/>
          <w:color w:val="E36C0A" w:themeColor="accent6" w:themeShade="BF"/>
          <w:sz w:val="20"/>
        </w:rPr>
        <w:t>)</w:t>
      </w:r>
    </w:p>
    <w:p w:rsidR="0014276A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Piperazilina</w:t>
      </w:r>
      <w:proofErr w:type="spellEnd"/>
      <w:r w:rsidRPr="00BA6A4B">
        <w:rPr>
          <w:b/>
          <w:color w:val="E36C0A" w:themeColor="accent6" w:themeShade="BF"/>
          <w:sz w:val="20"/>
        </w:rPr>
        <w:t xml:space="preserve"> + </w:t>
      </w:r>
      <w:proofErr w:type="spellStart"/>
      <w:r w:rsidRPr="00BA6A4B">
        <w:rPr>
          <w:b/>
          <w:color w:val="E36C0A" w:themeColor="accent6" w:themeShade="BF"/>
          <w:sz w:val="20"/>
        </w:rPr>
        <w:t>Tazobactam</w:t>
      </w:r>
      <w:proofErr w:type="spellEnd"/>
      <w:r w:rsidRPr="00BA6A4B">
        <w:rPr>
          <w:b/>
          <w:color w:val="E36C0A" w:themeColor="accent6" w:themeShade="BF"/>
          <w:sz w:val="20"/>
        </w:rPr>
        <w:t xml:space="preserve"> (</w:t>
      </w:r>
      <w:proofErr w:type="spellStart"/>
      <w:r w:rsidRPr="00BA6A4B">
        <w:rPr>
          <w:b/>
          <w:color w:val="E36C0A" w:themeColor="accent6" w:themeShade="BF"/>
          <w:sz w:val="20"/>
        </w:rPr>
        <w:t>Tazocin</w:t>
      </w:r>
      <w:proofErr w:type="spellEnd"/>
      <w:r w:rsidRPr="00BA6A4B">
        <w:rPr>
          <w:b/>
          <w:color w:val="E36C0A" w:themeColor="accent6" w:themeShade="BF"/>
          <w:sz w:val="20"/>
        </w:rPr>
        <w:t>)</w:t>
      </w:r>
    </w:p>
    <w:p w:rsidR="0014276A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Ertapenem</w:t>
      </w:r>
      <w:proofErr w:type="spellEnd"/>
    </w:p>
    <w:p w:rsidR="00BA6A4B" w:rsidRPr="00BA6A4B" w:rsidRDefault="00941512" w:rsidP="00BA6A4B">
      <w:pPr>
        <w:pStyle w:val="PargrafodaLista"/>
        <w:numPr>
          <w:ilvl w:val="0"/>
          <w:numId w:val="6"/>
        </w:numPr>
        <w:jc w:val="both"/>
        <w:rPr>
          <w:b/>
          <w:color w:val="FF0000"/>
          <w:sz w:val="20"/>
        </w:rPr>
      </w:pPr>
      <w:proofErr w:type="spellStart"/>
      <w:r w:rsidRPr="00BA6A4B">
        <w:rPr>
          <w:b/>
          <w:color w:val="FF0000"/>
          <w:sz w:val="20"/>
        </w:rPr>
        <w:t>Colecistite</w:t>
      </w:r>
      <w:proofErr w:type="spellEnd"/>
      <w:r w:rsidRPr="00BA6A4B">
        <w:rPr>
          <w:b/>
          <w:color w:val="FF0000"/>
          <w:sz w:val="20"/>
        </w:rPr>
        <w:t xml:space="preserve"> e </w:t>
      </w:r>
      <w:proofErr w:type="spellStart"/>
      <w:r w:rsidRPr="00BA6A4B">
        <w:rPr>
          <w:b/>
          <w:color w:val="FF0000"/>
          <w:sz w:val="20"/>
        </w:rPr>
        <w:t>Colangite</w:t>
      </w:r>
      <w:proofErr w:type="spellEnd"/>
      <w:r w:rsidRPr="00BA6A4B">
        <w:rPr>
          <w:b/>
          <w:color w:val="FF0000"/>
          <w:sz w:val="20"/>
        </w:rPr>
        <w:t xml:space="preserve"> Grau IIII</w:t>
      </w:r>
      <w:r w:rsidR="0014276A" w:rsidRPr="00BA6A4B">
        <w:rPr>
          <w:b/>
          <w:color w:val="FF0000"/>
          <w:sz w:val="20"/>
        </w:rPr>
        <w:tab/>
      </w:r>
    </w:p>
    <w:p w:rsidR="00A31ECD" w:rsidRPr="00BA6A4B" w:rsidRDefault="00BA6A4B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>
        <w:rPr>
          <w:b/>
          <w:color w:val="E36C0A" w:themeColor="accent6" w:themeShade="BF"/>
          <w:sz w:val="20"/>
        </w:rPr>
        <w:t>Piperac</w:t>
      </w:r>
      <w:r w:rsidR="0014276A" w:rsidRPr="00BA6A4B">
        <w:rPr>
          <w:b/>
          <w:color w:val="E36C0A" w:themeColor="accent6" w:themeShade="BF"/>
          <w:sz w:val="20"/>
        </w:rPr>
        <w:t>ilina</w:t>
      </w:r>
      <w:proofErr w:type="spellEnd"/>
      <w:r w:rsidR="0014276A" w:rsidRPr="00BA6A4B">
        <w:rPr>
          <w:b/>
          <w:color w:val="E36C0A" w:themeColor="accent6" w:themeShade="BF"/>
          <w:sz w:val="20"/>
        </w:rPr>
        <w:t xml:space="preserve"> + </w:t>
      </w:r>
      <w:proofErr w:type="spellStart"/>
      <w:r w:rsidR="0014276A" w:rsidRPr="00BA6A4B">
        <w:rPr>
          <w:b/>
          <w:color w:val="E36C0A" w:themeColor="accent6" w:themeShade="BF"/>
          <w:sz w:val="20"/>
        </w:rPr>
        <w:t>Tazobactam</w:t>
      </w:r>
      <w:proofErr w:type="spellEnd"/>
      <w:r w:rsidR="0014276A" w:rsidRPr="00BA6A4B">
        <w:rPr>
          <w:b/>
          <w:color w:val="E36C0A" w:themeColor="accent6" w:themeShade="BF"/>
          <w:sz w:val="20"/>
        </w:rPr>
        <w:t xml:space="preserve"> (</w:t>
      </w:r>
      <w:proofErr w:type="spellStart"/>
      <w:r w:rsidR="0014276A" w:rsidRPr="00BA6A4B">
        <w:rPr>
          <w:b/>
          <w:color w:val="E36C0A" w:themeColor="accent6" w:themeShade="BF"/>
          <w:sz w:val="20"/>
        </w:rPr>
        <w:t>Tazocin</w:t>
      </w:r>
      <w:proofErr w:type="spellEnd"/>
      <w:r w:rsidR="0014276A" w:rsidRPr="00BA6A4B">
        <w:rPr>
          <w:b/>
          <w:color w:val="E36C0A" w:themeColor="accent6" w:themeShade="BF"/>
          <w:sz w:val="20"/>
        </w:rPr>
        <w:t>)</w:t>
      </w:r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Cefpime</w:t>
      </w:r>
      <w:proofErr w:type="spellEnd"/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Imipenem</w:t>
      </w:r>
      <w:proofErr w:type="spellEnd"/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Ertapenem</w:t>
      </w:r>
      <w:proofErr w:type="spellEnd"/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proofErr w:type="spellStart"/>
      <w:r w:rsidRPr="00BA6A4B">
        <w:rPr>
          <w:b/>
          <w:color w:val="E36C0A" w:themeColor="accent6" w:themeShade="BF"/>
          <w:sz w:val="20"/>
        </w:rPr>
        <w:t>Meropenem</w:t>
      </w:r>
      <w:proofErr w:type="spellEnd"/>
    </w:p>
    <w:p w:rsidR="00A31ECD" w:rsidRPr="00BA6A4B" w:rsidRDefault="0014276A" w:rsidP="00BA6A4B">
      <w:pPr>
        <w:jc w:val="center"/>
        <w:rPr>
          <w:b/>
          <w:color w:val="E36C0A" w:themeColor="accent6" w:themeShade="BF"/>
          <w:sz w:val="20"/>
        </w:rPr>
      </w:pPr>
      <w:r w:rsidRPr="00BA6A4B">
        <w:rPr>
          <w:b/>
          <w:color w:val="E36C0A" w:themeColor="accent6" w:themeShade="BF"/>
          <w:sz w:val="20"/>
        </w:rPr>
        <w:t>Vancomicina</w:t>
      </w:r>
    </w:p>
    <w:p w:rsidR="00A31ECD" w:rsidRDefault="00A31ECD" w:rsidP="00A31ECD">
      <w:pPr>
        <w:jc w:val="both"/>
      </w:pPr>
    </w:p>
    <w:p w:rsidR="00BA6A4B" w:rsidRDefault="00132B6B" w:rsidP="00A31ECD">
      <w:pPr>
        <w:jc w:val="both"/>
      </w:pPr>
      <w:r>
        <w:t xml:space="preserve">   </w:t>
      </w:r>
      <w:r w:rsidRPr="00132B6B">
        <w:t xml:space="preserve">A </w:t>
      </w:r>
      <w:r w:rsidRPr="00BA6A4B">
        <w:rPr>
          <w:color w:val="E36C0A" w:themeColor="accent6" w:themeShade="BF"/>
        </w:rPr>
        <w:t>terapia antimicrobiana</w:t>
      </w:r>
      <w:r w:rsidRPr="00132B6B">
        <w:t xml:space="preserve"> direcionada a </w:t>
      </w:r>
      <w:r w:rsidRPr="00BA6A4B">
        <w:rPr>
          <w:b/>
          <w:color w:val="FF0000"/>
        </w:rPr>
        <w:t>anaeró</w:t>
      </w:r>
      <w:r w:rsidR="001848F2" w:rsidRPr="00BA6A4B">
        <w:rPr>
          <w:b/>
          <w:color w:val="FF0000"/>
        </w:rPr>
        <w:t>bios</w:t>
      </w:r>
      <w:r w:rsidR="001848F2">
        <w:t xml:space="preserve"> (</w:t>
      </w:r>
      <w:r w:rsidR="00823C37">
        <w:t xml:space="preserve">associação com </w:t>
      </w:r>
      <w:proofErr w:type="spellStart"/>
      <w:r w:rsidR="00BA6A4B" w:rsidRPr="00BA6A4B">
        <w:rPr>
          <w:b/>
          <w:color w:val="FF0000"/>
        </w:rPr>
        <w:t>Metronidazol</w:t>
      </w:r>
      <w:proofErr w:type="spellEnd"/>
      <w:r w:rsidR="00BA6A4B">
        <w:t xml:space="preserve"> ou </w:t>
      </w:r>
      <w:proofErr w:type="spellStart"/>
      <w:r w:rsidR="00BA6A4B" w:rsidRPr="00BA6A4B">
        <w:rPr>
          <w:b/>
          <w:color w:val="FF0000"/>
        </w:rPr>
        <w:t>C</w:t>
      </w:r>
      <w:r w:rsidRPr="00BA6A4B">
        <w:rPr>
          <w:b/>
          <w:color w:val="FF0000"/>
        </w:rPr>
        <w:t>lindamicina</w:t>
      </w:r>
      <w:proofErr w:type="spellEnd"/>
      <w:r w:rsidR="00823C37">
        <w:t>)</w:t>
      </w:r>
      <w:r w:rsidRPr="00132B6B">
        <w:t xml:space="preserve"> é </w:t>
      </w:r>
      <w:r w:rsidRPr="00BA6A4B">
        <w:rPr>
          <w:b/>
          <w:color w:val="E36C0A" w:themeColor="accent6" w:themeShade="BF"/>
        </w:rPr>
        <w:t>indicada apenas</w:t>
      </w:r>
      <w:r w:rsidRPr="00132B6B">
        <w:t xml:space="preserve"> na presença de </w:t>
      </w:r>
      <w:r w:rsidRPr="00BA6A4B">
        <w:rPr>
          <w:b/>
          <w:color w:val="E36C0A" w:themeColor="accent6" w:themeShade="BF"/>
        </w:rPr>
        <w:t xml:space="preserve">anastomose </w:t>
      </w:r>
      <w:proofErr w:type="spellStart"/>
      <w:r w:rsidRPr="00BA6A4B">
        <w:rPr>
          <w:b/>
          <w:color w:val="E36C0A" w:themeColor="accent6" w:themeShade="BF"/>
        </w:rPr>
        <w:t>biliodigestiva</w:t>
      </w:r>
      <w:proofErr w:type="spellEnd"/>
      <w:r w:rsidR="00823C37" w:rsidRPr="00BA6A4B">
        <w:rPr>
          <w:b/>
          <w:color w:val="E36C0A" w:themeColor="accent6" w:themeShade="BF"/>
        </w:rPr>
        <w:t xml:space="preserve"> prévia</w:t>
      </w:r>
      <w:r w:rsidRPr="00132B6B">
        <w:t xml:space="preserve">. Nessa condição, o refluxo da flora entérica para o trato biliar possibilita a participação de bactérias anaeróbias obrigatórias no processo infeccioso, justificando a necessidade de cobertura específica. </w:t>
      </w:r>
    </w:p>
    <w:p w:rsidR="00A31ECD" w:rsidRDefault="00BA6A4B" w:rsidP="00A31ECD">
      <w:pPr>
        <w:jc w:val="both"/>
      </w:pPr>
      <w:r>
        <w:t xml:space="preserve">   </w:t>
      </w:r>
      <w:r w:rsidR="00132B6B" w:rsidRPr="00132B6B">
        <w:t xml:space="preserve">Alternativamente, determinados agentes antimicrobianos apresentam atividade intrínseca contra anaeróbios, dispensando a associação de drogas adicionais. Entre esses fármacos, destacam-se os </w:t>
      </w:r>
      <w:proofErr w:type="spellStart"/>
      <w:r w:rsidR="00132B6B" w:rsidRPr="00132B6B">
        <w:t>carbapenêm</w:t>
      </w:r>
      <w:r w:rsidR="00173E06">
        <w:t>icos</w:t>
      </w:r>
      <w:proofErr w:type="spellEnd"/>
      <w:r w:rsidR="00173E06">
        <w:t xml:space="preserve">, a </w:t>
      </w:r>
      <w:proofErr w:type="spellStart"/>
      <w:r w:rsidR="00173E06">
        <w:t>piperacilina</w:t>
      </w:r>
      <w:proofErr w:type="spellEnd"/>
      <w:r w:rsidR="00173E06">
        <w:t>/</w:t>
      </w:r>
      <w:proofErr w:type="spellStart"/>
      <w:r w:rsidR="00173E06">
        <w:t>tazobactam</w:t>
      </w:r>
      <w:proofErr w:type="spellEnd"/>
      <w:r w:rsidR="00173E06">
        <w:t xml:space="preserve"> e</w:t>
      </w:r>
      <w:r w:rsidR="00132B6B" w:rsidRPr="00132B6B">
        <w:t xml:space="preserve"> </w:t>
      </w:r>
      <w:r w:rsidR="00173E06">
        <w:t xml:space="preserve">o </w:t>
      </w:r>
      <w:proofErr w:type="spellStart"/>
      <w:r w:rsidR="00173E06">
        <w:t>cefpime</w:t>
      </w:r>
      <w:proofErr w:type="spellEnd"/>
      <w:r w:rsidR="00132B6B" w:rsidRPr="00132B6B">
        <w:t>, considerad</w:t>
      </w:r>
      <w:r w:rsidR="00173E06">
        <w:t>os eficazes para esses</w:t>
      </w:r>
      <w:r w:rsidR="00132B6B" w:rsidRPr="00132B6B">
        <w:t>.</w:t>
      </w:r>
    </w:p>
    <w:p w:rsidR="00A31ECD" w:rsidRDefault="00A31ECD" w:rsidP="00A31ECD">
      <w:pPr>
        <w:jc w:val="both"/>
      </w:pPr>
    </w:p>
    <w:p w:rsidR="00BA6A4B" w:rsidRDefault="00BA6A4B" w:rsidP="00A31ECD">
      <w:pPr>
        <w:jc w:val="both"/>
      </w:pPr>
    </w:p>
    <w:p w:rsidR="00BA6A4B" w:rsidRDefault="00BA6A4B" w:rsidP="00A31ECD">
      <w:pPr>
        <w:jc w:val="both"/>
      </w:pPr>
    </w:p>
    <w:p w:rsidR="001848F2" w:rsidRPr="00BA6A4B" w:rsidRDefault="001848F2" w:rsidP="002145FE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</w:pPr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lastRenderedPageBreak/>
        <w:t xml:space="preserve">Condutas Essenciais na </w:t>
      </w:r>
      <w:proofErr w:type="spellStart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>Antibioticoterapia</w:t>
      </w:r>
      <w:proofErr w:type="spellEnd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 xml:space="preserve"> da </w:t>
      </w:r>
      <w:proofErr w:type="spellStart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>Colecistite</w:t>
      </w:r>
      <w:proofErr w:type="spellEnd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 xml:space="preserve"> Aguda e da </w:t>
      </w:r>
      <w:proofErr w:type="spellStart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>Colangite</w:t>
      </w:r>
      <w:proofErr w:type="spellEnd"/>
      <w:r w:rsidRPr="00BA6A4B">
        <w:rPr>
          <w:rFonts w:ascii="Calibri" w:eastAsia="Times New Roman" w:hAnsi="Calibri" w:cs="Calibri"/>
          <w:b/>
          <w:bCs/>
          <w:color w:val="FF0000"/>
          <w:sz w:val="24"/>
          <w:szCs w:val="36"/>
          <w:lang w:eastAsia="pt-BR"/>
        </w:rPr>
        <w:t xml:space="preserve"> Aguda</w:t>
      </w:r>
    </w:p>
    <w:p w:rsidR="001848F2" w:rsidRPr="00991F11" w:rsidRDefault="002145FE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A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antibioticoterapia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deve ser instituída </w:t>
      </w:r>
      <w:r w:rsidR="001848F2" w:rsidRPr="00BA6A4B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de forma imediata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em todos os pacientes com </w:t>
      </w:r>
      <w:r w:rsidR="001848F2" w:rsidRPr="00BA6A4B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diagnóstico confirmado ou suspeita clínica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colecistite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aguda ou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colangite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aguda, dado o risco significativo de progressão para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sepse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 foco biliar.</w:t>
      </w:r>
    </w:p>
    <w:p w:rsidR="001848F2" w:rsidRPr="00653634" w:rsidRDefault="001848F2" w:rsidP="00653634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FF0000"/>
          <w:sz w:val="27"/>
          <w:szCs w:val="27"/>
          <w:lang w:eastAsia="pt-BR"/>
        </w:rPr>
      </w:pPr>
      <w:r w:rsidRPr="00653634">
        <w:rPr>
          <w:rFonts w:ascii="Calibri" w:eastAsia="Times New Roman" w:hAnsi="Calibri" w:cs="Calibri"/>
          <w:b/>
          <w:bCs/>
          <w:color w:val="FF0000"/>
          <w:sz w:val="24"/>
          <w:szCs w:val="27"/>
          <w:lang w:eastAsia="pt-BR"/>
        </w:rPr>
        <w:t xml:space="preserve">Tempo para início da </w:t>
      </w:r>
      <w:proofErr w:type="spellStart"/>
      <w:r w:rsidRPr="00653634">
        <w:rPr>
          <w:rFonts w:ascii="Calibri" w:eastAsia="Times New Roman" w:hAnsi="Calibri" w:cs="Calibri"/>
          <w:b/>
          <w:bCs/>
          <w:color w:val="FF0000"/>
          <w:sz w:val="24"/>
          <w:szCs w:val="27"/>
          <w:lang w:eastAsia="pt-BR"/>
        </w:rPr>
        <w:t>antibioticoterapia</w:t>
      </w:r>
      <w:proofErr w:type="spellEnd"/>
    </w:p>
    <w:p w:rsidR="001848F2" w:rsidRPr="00991F11" w:rsidRDefault="002145FE" w:rsidP="0018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pt-BR"/>
        </w:rPr>
      </w:pPr>
      <w:proofErr w:type="gramStart"/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Quadros graves</w:t>
      </w:r>
      <w:proofErr w:type="gramEnd"/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 xml:space="preserve"> (</w:t>
      </w:r>
      <w:r w:rsidRPr="00653634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Grau III</w:t>
      </w:r>
      <w:r w:rsidR="001848F2" w:rsidRPr="00991F11">
        <w:rPr>
          <w:rFonts w:ascii="Calibri" w:eastAsia="Times New Roman" w:hAnsi="Calibri" w:cs="Calibri"/>
          <w:b/>
          <w:bCs/>
          <w:szCs w:val="24"/>
          <w:lang w:eastAsia="pt-BR"/>
        </w:rPr>
        <w:t>):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br/>
        <w:t xml:space="preserve">A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antibioticoterapia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deve ser </w:t>
      </w:r>
      <w:r w:rsidR="001848F2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 xml:space="preserve">iniciada </w:t>
      </w:r>
      <w:r w:rsidR="001848F2" w:rsidRPr="00653634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na primeira hora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após a </w:t>
      </w:r>
      <w:r w:rsidR="001848F2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suspeita clínica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, em consonância com recomendações internacionais para </w:t>
      </w:r>
      <w:proofErr w:type="spellStart"/>
      <w:r w:rsidR="001848F2" w:rsidRPr="00991F11">
        <w:rPr>
          <w:rFonts w:ascii="Calibri" w:eastAsia="Times New Roman" w:hAnsi="Calibri" w:cs="Calibri"/>
          <w:szCs w:val="24"/>
          <w:lang w:eastAsia="pt-BR"/>
        </w:rPr>
        <w:t>sepse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e choque séptico.</w:t>
      </w:r>
    </w:p>
    <w:p w:rsidR="00653634" w:rsidRDefault="001848F2" w:rsidP="0018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pt-BR"/>
        </w:rPr>
      </w:pPr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Quadros moderados e leves (</w:t>
      </w:r>
      <w:r w:rsidRPr="00653634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Grau II e Grau I</w:t>
      </w:r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):</w:t>
      </w:r>
      <w:r w:rsidRPr="00991F11">
        <w:rPr>
          <w:rFonts w:ascii="Calibri" w:eastAsia="Times New Roman" w:hAnsi="Calibri" w:cs="Calibri"/>
          <w:szCs w:val="24"/>
          <w:lang w:eastAsia="pt-BR"/>
        </w:rPr>
        <w:br/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A </w:t>
      </w:r>
      <w:proofErr w:type="spellStart"/>
      <w:r w:rsidR="002145FE" w:rsidRPr="00991F11">
        <w:rPr>
          <w:rFonts w:ascii="Calibri" w:eastAsia="Times New Roman" w:hAnsi="Calibri" w:cs="Calibri"/>
          <w:szCs w:val="24"/>
          <w:lang w:eastAsia="pt-BR"/>
        </w:rPr>
        <w:t>antibioticoterapia</w:t>
      </w:r>
      <w:proofErr w:type="spellEnd"/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deve ser </w:t>
      </w:r>
      <w:proofErr w:type="gramStart"/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instituída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preferencialmente nas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primeiras seis horas</w:t>
      </w:r>
      <w:proofErr w:type="gramEnd"/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após a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suspeita diagnóstica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. </w:t>
      </w:r>
    </w:p>
    <w:p w:rsidR="001848F2" w:rsidRPr="00991F11" w:rsidRDefault="00653634" w:rsidP="0065363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Cs w:val="24"/>
          <w:lang w:eastAsia="pt-BR"/>
        </w:rPr>
      </w:pPr>
      <w:r>
        <w:rPr>
          <w:rFonts w:ascii="Calibri" w:eastAsia="Times New Roman" w:hAnsi="Calibri" w:cs="Calibri"/>
          <w:szCs w:val="24"/>
          <w:lang w:eastAsia="pt-BR"/>
        </w:rPr>
        <w:t xml:space="preserve">   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Destaca-se que a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confirmação diagnóstica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por meio de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exames de imagem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é </w:t>
      </w:r>
      <w:r w:rsidRPr="00653634">
        <w:rPr>
          <w:rFonts w:ascii="Calibri" w:eastAsia="Times New Roman" w:hAnsi="Calibri" w:cs="Calibri"/>
          <w:b/>
          <w:color w:val="E36C0A" w:themeColor="accent6" w:themeShade="BF"/>
          <w:szCs w:val="24"/>
          <w:lang w:eastAsia="pt-BR"/>
        </w:rPr>
        <w:t>obrigatória</w:t>
      </w:r>
      <w:r>
        <w:rPr>
          <w:rFonts w:ascii="Calibri" w:eastAsia="Times New Roman" w:hAnsi="Calibri" w:cs="Calibri"/>
          <w:szCs w:val="24"/>
          <w:lang w:eastAsia="pt-BR"/>
        </w:rPr>
        <w:t>. E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ntretanto, a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realização desses exames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não deve, em hipótese alguma,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retardar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o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início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 xml:space="preserve"> do </w:t>
      </w:r>
      <w:r w:rsidR="002145FE" w:rsidRPr="00653634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tratamento antimicrobiano</w:t>
      </w:r>
      <w:r w:rsidR="002145FE" w:rsidRPr="00991F11">
        <w:rPr>
          <w:rFonts w:ascii="Calibri" w:eastAsia="Times New Roman" w:hAnsi="Calibri" w:cs="Calibri"/>
          <w:szCs w:val="24"/>
          <w:lang w:eastAsia="pt-BR"/>
        </w:rPr>
        <w:t>.</w:t>
      </w:r>
    </w:p>
    <w:p w:rsidR="001848F2" w:rsidRPr="00653634" w:rsidRDefault="001848F2" w:rsidP="00653634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FF0000"/>
          <w:sz w:val="24"/>
          <w:szCs w:val="27"/>
          <w:lang w:eastAsia="pt-BR"/>
        </w:rPr>
      </w:pPr>
      <w:r w:rsidRPr="00653634">
        <w:rPr>
          <w:rFonts w:ascii="Calibri" w:eastAsia="Times New Roman" w:hAnsi="Calibri" w:cs="Calibri"/>
          <w:b/>
          <w:bCs/>
          <w:color w:val="FF0000"/>
          <w:sz w:val="24"/>
          <w:szCs w:val="27"/>
          <w:lang w:eastAsia="pt-BR"/>
        </w:rPr>
        <w:t>Hemoculturas</w:t>
      </w:r>
    </w:p>
    <w:p w:rsidR="001848F2" w:rsidRPr="00991F11" w:rsidRDefault="00653634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 xml:space="preserve">A coleta de hemoculturas está indicada </w:t>
      </w:r>
      <w:r w:rsidR="001848F2" w:rsidRPr="00653634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exclusivamente nos quadros moderados e graves</w:t>
      </w:r>
      <w:r w:rsidR="001848F2" w:rsidRPr="00991F11">
        <w:rPr>
          <w:rFonts w:ascii="Calibri" w:eastAsia="Times New Roman" w:hAnsi="Calibri" w:cs="Calibri"/>
          <w:lang w:eastAsia="pt-BR"/>
        </w:rPr>
        <w:t>, incluindo:</w:t>
      </w:r>
    </w:p>
    <w:p w:rsidR="001848F2" w:rsidRPr="00991F11" w:rsidRDefault="001848F2" w:rsidP="0018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proofErr w:type="spellStart"/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Colangite</w:t>
      </w:r>
      <w:proofErr w:type="spellEnd"/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 xml:space="preserve"> Aguda</w:t>
      </w:r>
      <w:r w:rsidRPr="00991F11">
        <w:rPr>
          <w:rFonts w:ascii="Calibri" w:eastAsia="Times New Roman" w:hAnsi="Calibri" w:cs="Calibri"/>
          <w:lang w:eastAsia="pt-BR"/>
        </w:rPr>
        <w:t xml:space="preserve"> Grau </w:t>
      </w:r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II</w:t>
      </w:r>
      <w:r w:rsidRPr="00991F11">
        <w:rPr>
          <w:rFonts w:ascii="Calibri" w:eastAsia="Times New Roman" w:hAnsi="Calibri" w:cs="Calibri"/>
          <w:lang w:eastAsia="pt-BR"/>
        </w:rPr>
        <w:t xml:space="preserve"> e Grau </w:t>
      </w:r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III</w:t>
      </w:r>
    </w:p>
    <w:p w:rsidR="001848F2" w:rsidRPr="00991F11" w:rsidRDefault="001848F2" w:rsidP="0018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proofErr w:type="spellStart"/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Colecistite</w:t>
      </w:r>
      <w:proofErr w:type="spellEnd"/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 xml:space="preserve"> Aguda</w:t>
      </w:r>
      <w:r w:rsidRPr="00991F11">
        <w:rPr>
          <w:rFonts w:ascii="Calibri" w:eastAsia="Times New Roman" w:hAnsi="Calibri" w:cs="Calibri"/>
          <w:lang w:eastAsia="pt-BR"/>
        </w:rPr>
        <w:t xml:space="preserve"> Grau </w:t>
      </w:r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II</w:t>
      </w:r>
      <w:r w:rsidRPr="00991F11">
        <w:rPr>
          <w:rFonts w:ascii="Calibri" w:eastAsia="Times New Roman" w:hAnsi="Calibri" w:cs="Calibri"/>
          <w:lang w:eastAsia="pt-BR"/>
        </w:rPr>
        <w:t xml:space="preserve"> e Grau </w:t>
      </w:r>
      <w:r w:rsidRPr="00653634">
        <w:rPr>
          <w:rFonts w:ascii="Calibri" w:eastAsia="Times New Roman" w:hAnsi="Calibri" w:cs="Calibri"/>
          <w:b/>
          <w:color w:val="E36C0A" w:themeColor="accent6" w:themeShade="BF"/>
          <w:lang w:eastAsia="pt-BR"/>
        </w:rPr>
        <w:t>III</w:t>
      </w:r>
    </w:p>
    <w:p w:rsidR="001848F2" w:rsidRPr="00991F11" w:rsidRDefault="00653634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>Tal abordagem visa orientar o ajuste terapêutico e monitorar patógenos de maior virulência ou resistência.</w:t>
      </w:r>
    </w:p>
    <w:p w:rsidR="001848F2" w:rsidRDefault="001848F2" w:rsidP="002C3CB4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FF0000"/>
          <w:lang w:eastAsia="pt-BR"/>
        </w:rPr>
      </w:pPr>
      <w:r w:rsidRPr="002C3CB4">
        <w:rPr>
          <w:rFonts w:ascii="Calibri" w:eastAsia="Times New Roman" w:hAnsi="Calibri" w:cs="Calibri"/>
          <w:b/>
          <w:bCs/>
          <w:color w:val="FF0000"/>
          <w:lang w:eastAsia="pt-BR"/>
        </w:rPr>
        <w:t xml:space="preserve">Esquemas antibióticos recomendados, conforme </w:t>
      </w:r>
      <w:proofErr w:type="gramStart"/>
      <w:r w:rsidRPr="002C3CB4">
        <w:rPr>
          <w:rFonts w:ascii="Calibri" w:eastAsia="Times New Roman" w:hAnsi="Calibri" w:cs="Calibri"/>
          <w:b/>
          <w:bCs/>
          <w:color w:val="FF0000"/>
          <w:lang w:eastAsia="pt-BR"/>
        </w:rPr>
        <w:t>gravidade</w:t>
      </w:r>
      <w:proofErr w:type="gramEnd"/>
    </w:p>
    <w:p w:rsidR="002C3CB4" w:rsidRDefault="002C3CB4" w:rsidP="002C3CB4">
      <w:pPr>
        <w:pStyle w:val="PargrafodaLista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</w:pPr>
    </w:p>
    <w:p w:rsidR="001848F2" w:rsidRPr="002C3CB4" w:rsidRDefault="001848F2" w:rsidP="002C3CB4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</w:pPr>
      <w:proofErr w:type="spellStart"/>
      <w:r w:rsidRPr="002C3CB4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Colecistite</w:t>
      </w:r>
      <w:proofErr w:type="spellEnd"/>
      <w:r w:rsidRPr="002C3CB4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 xml:space="preserve"> Aguda Grau I</w:t>
      </w:r>
    </w:p>
    <w:p w:rsidR="001848F2" w:rsidRPr="00991F11" w:rsidRDefault="002C3CB4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 xml:space="preserve">A </w:t>
      </w:r>
      <w:proofErr w:type="spellStart"/>
      <w:r w:rsidR="001848F2" w:rsidRPr="00991F11">
        <w:rPr>
          <w:rFonts w:ascii="Calibri" w:eastAsia="Times New Roman" w:hAnsi="Calibri" w:cs="Calibri"/>
          <w:lang w:eastAsia="pt-BR"/>
        </w:rPr>
        <w:t>antibioticoterapia</w:t>
      </w:r>
      <w:proofErr w:type="spellEnd"/>
      <w:r w:rsidR="001848F2" w:rsidRPr="00991F11">
        <w:rPr>
          <w:rFonts w:ascii="Calibri" w:eastAsia="Times New Roman" w:hAnsi="Calibri" w:cs="Calibri"/>
          <w:lang w:eastAsia="pt-BR"/>
        </w:rPr>
        <w:t xml:space="preserve"> tem caráter </w:t>
      </w:r>
      <w:r w:rsidR="001848F2" w:rsidRPr="002C3CB4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profilático</w:t>
      </w:r>
      <w:r w:rsidR="001848F2" w:rsidRPr="00991F11">
        <w:rPr>
          <w:rFonts w:ascii="Calibri" w:eastAsia="Times New Roman" w:hAnsi="Calibri" w:cs="Calibri"/>
          <w:lang w:eastAsia="pt-BR"/>
        </w:rPr>
        <w:t>, sendo administrada durante o preparo para a intervenção cirúrgica ou imediatamente antes do procedimento.</w:t>
      </w:r>
    </w:p>
    <w:p w:rsidR="001848F2" w:rsidRPr="00CE3E20" w:rsidRDefault="001848F2" w:rsidP="002C3CB4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</w:pPr>
      <w:proofErr w:type="spellStart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>Colangite</w:t>
      </w:r>
      <w:proofErr w:type="spellEnd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 xml:space="preserve"> Aguda Grau I</w:t>
      </w:r>
    </w:p>
    <w:p w:rsidR="002C3CB4" w:rsidRDefault="002C3CB4" w:rsidP="002C3CB4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 xml:space="preserve">A </w:t>
      </w:r>
      <w:proofErr w:type="spellStart"/>
      <w:r w:rsidR="001848F2" w:rsidRPr="00991F11">
        <w:rPr>
          <w:rFonts w:ascii="Calibri" w:eastAsia="Times New Roman" w:hAnsi="Calibri" w:cs="Calibri"/>
          <w:lang w:eastAsia="pt-BR"/>
        </w:rPr>
        <w:t>antibioticoterapia</w:t>
      </w:r>
      <w:proofErr w:type="spellEnd"/>
      <w:r w:rsidR="001848F2" w:rsidRPr="00991F11">
        <w:rPr>
          <w:rFonts w:ascii="Calibri" w:eastAsia="Times New Roman" w:hAnsi="Calibri" w:cs="Calibri"/>
          <w:lang w:eastAsia="pt-BR"/>
        </w:rPr>
        <w:t xml:space="preserve"> deve ser </w:t>
      </w:r>
      <w:r w:rsidR="001848F2" w:rsidRPr="002C3CB4">
        <w:rPr>
          <w:rFonts w:ascii="Calibri" w:eastAsia="Times New Roman" w:hAnsi="Calibri" w:cs="Calibri"/>
          <w:color w:val="E36C0A" w:themeColor="accent6" w:themeShade="BF"/>
          <w:lang w:eastAsia="pt-BR"/>
        </w:rPr>
        <w:t>iniciada no momento da suspeita diagnóstica</w:t>
      </w:r>
      <w:r w:rsidR="001848F2" w:rsidRPr="00991F11">
        <w:rPr>
          <w:rFonts w:ascii="Calibri" w:eastAsia="Times New Roman" w:hAnsi="Calibri" w:cs="Calibri"/>
          <w:lang w:eastAsia="pt-BR"/>
        </w:rPr>
        <w:t>.</w:t>
      </w:r>
    </w:p>
    <w:p w:rsidR="001848F2" w:rsidRPr="00991F11" w:rsidRDefault="001848F2" w:rsidP="002C3CB4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 w:rsidRPr="00991F11">
        <w:rPr>
          <w:rFonts w:ascii="Calibri" w:eastAsia="Times New Roman" w:hAnsi="Calibri" w:cs="Calibri"/>
          <w:lang w:eastAsia="pt-BR"/>
        </w:rPr>
        <w:br/>
      </w:r>
      <w:r w:rsidRPr="00991F11">
        <w:rPr>
          <w:rFonts w:ascii="Calibri" w:eastAsia="Times New Roman" w:hAnsi="Calibri" w:cs="Calibri"/>
          <w:b/>
          <w:bCs/>
          <w:lang w:eastAsia="pt-BR"/>
        </w:rPr>
        <w:t>Opção recomendada:</w:t>
      </w:r>
    </w:p>
    <w:p w:rsidR="001848F2" w:rsidRPr="002C3CB4" w:rsidRDefault="001848F2" w:rsidP="0018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lang w:eastAsia="pt-BR"/>
        </w:rPr>
        <w:t>Ceftriaxona</w:t>
      </w:r>
      <w:proofErr w:type="spellEnd"/>
      <w:r w:rsidRPr="00991F11">
        <w:rPr>
          <w:rFonts w:ascii="Calibri" w:eastAsia="Times New Roman" w:hAnsi="Calibri" w:cs="Calibri"/>
          <w:b/>
          <w:bCs/>
          <w:lang w:eastAsia="pt-BR"/>
        </w:rPr>
        <w:t xml:space="preserve"> </w:t>
      </w:r>
      <w:r w:rsidR="002C3CB4">
        <w:rPr>
          <w:rFonts w:ascii="Calibri" w:eastAsia="Times New Roman" w:hAnsi="Calibri" w:cs="Calibri"/>
          <w:b/>
          <w:bCs/>
          <w:lang w:eastAsia="pt-BR"/>
        </w:rPr>
        <w:t>2,0g IV 1x ao dia</w:t>
      </w:r>
    </w:p>
    <w:p w:rsidR="002C3CB4" w:rsidRDefault="002C3CB4" w:rsidP="002C3CB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lang w:eastAsia="pt-BR"/>
        </w:rPr>
      </w:pPr>
    </w:p>
    <w:p w:rsidR="002C3CB4" w:rsidRDefault="002C3CB4" w:rsidP="002C3CB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lang w:eastAsia="pt-BR"/>
        </w:rPr>
      </w:pPr>
    </w:p>
    <w:p w:rsidR="002C3CB4" w:rsidRPr="00991F11" w:rsidRDefault="002C3CB4" w:rsidP="002C3CB4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</w:p>
    <w:p w:rsidR="001848F2" w:rsidRPr="00CE3E20" w:rsidRDefault="001848F2" w:rsidP="002C3CB4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</w:pPr>
      <w:proofErr w:type="spellStart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lastRenderedPageBreak/>
        <w:t>Colecistite</w:t>
      </w:r>
      <w:proofErr w:type="spellEnd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 xml:space="preserve"> Aguda ou </w:t>
      </w:r>
      <w:proofErr w:type="spellStart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>Colangite</w:t>
      </w:r>
      <w:proofErr w:type="spellEnd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 xml:space="preserve"> Aguda Grau II</w:t>
      </w:r>
    </w:p>
    <w:p w:rsidR="00231C3F" w:rsidRDefault="002C3CB4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 xml:space="preserve">Os antimicrobianos devem ser iniciados </w:t>
      </w:r>
      <w:r w:rsidR="001848F2" w:rsidRPr="002C3CB4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no momento da suspeita diagnóstica</w:t>
      </w:r>
      <w:r w:rsidR="001848F2" w:rsidRPr="00991F11">
        <w:rPr>
          <w:rFonts w:ascii="Calibri" w:eastAsia="Times New Roman" w:hAnsi="Calibri" w:cs="Calibri"/>
          <w:lang w:eastAsia="pt-BR"/>
        </w:rPr>
        <w:t>.</w:t>
      </w:r>
    </w:p>
    <w:p w:rsidR="001848F2" w:rsidRPr="00231C3F" w:rsidRDefault="001848F2" w:rsidP="00231C3F">
      <w:pPr>
        <w:spacing w:after="0" w:line="240" w:lineRule="auto"/>
        <w:rPr>
          <w:rFonts w:ascii="Calibri" w:eastAsia="Times New Roman" w:hAnsi="Calibri" w:cs="Calibri"/>
          <w:color w:val="E36C0A" w:themeColor="accent6" w:themeShade="BF"/>
          <w:lang w:eastAsia="pt-BR"/>
        </w:rPr>
      </w:pPr>
      <w:r w:rsidRPr="00991F11">
        <w:rPr>
          <w:rFonts w:ascii="Calibri" w:eastAsia="Times New Roman" w:hAnsi="Calibri" w:cs="Calibri"/>
          <w:lang w:eastAsia="pt-BR"/>
        </w:rPr>
        <w:br/>
      </w:r>
      <w:r w:rsidR="00231C3F" w:rsidRPr="00231C3F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Esquemas recomendados</w:t>
      </w:r>
      <w:r w:rsidRPr="00231C3F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:</w:t>
      </w:r>
    </w:p>
    <w:p w:rsidR="001848F2" w:rsidRPr="00991F11" w:rsidRDefault="001848F2" w:rsidP="00231C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lang w:eastAsia="pt-BR"/>
        </w:rPr>
        <w:t>Ceftriaxona</w:t>
      </w:r>
      <w:proofErr w:type="spellEnd"/>
      <w:r w:rsidR="00231C3F">
        <w:rPr>
          <w:rFonts w:ascii="Calibri" w:eastAsia="Times New Roman" w:hAnsi="Calibri" w:cs="Calibri"/>
          <w:b/>
          <w:bCs/>
          <w:lang w:eastAsia="pt-BR"/>
        </w:rPr>
        <w:t xml:space="preserve"> 2,0g IV 1x ao dia</w:t>
      </w:r>
    </w:p>
    <w:p w:rsidR="001848F2" w:rsidRPr="00991F11" w:rsidRDefault="001848F2" w:rsidP="00231C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lang w:eastAsia="pt-BR"/>
        </w:rPr>
        <w:t>Piperacilina–Tazobactam</w:t>
      </w:r>
      <w:proofErr w:type="spellEnd"/>
      <w:r w:rsidR="00231C3F">
        <w:rPr>
          <w:rFonts w:ascii="Calibri" w:eastAsia="Times New Roman" w:hAnsi="Calibri" w:cs="Calibri"/>
          <w:b/>
          <w:bCs/>
          <w:lang w:eastAsia="pt-BR"/>
        </w:rPr>
        <w:t xml:space="preserve"> 4,5g IV de 8/8 horas ou de 6/6 horas</w:t>
      </w:r>
    </w:p>
    <w:p w:rsidR="001848F2" w:rsidRPr="00231C3F" w:rsidRDefault="00CE3E20" w:rsidP="00231C3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pt-BR"/>
        </w:rPr>
      </w:pPr>
      <w:proofErr w:type="spellStart"/>
      <w:r>
        <w:rPr>
          <w:rFonts w:ascii="Calibri" w:eastAsia="Times New Roman" w:hAnsi="Calibri" w:cs="Calibri"/>
          <w:b/>
          <w:bCs/>
          <w:lang w:eastAsia="pt-BR"/>
        </w:rPr>
        <w:t>Meropenem</w:t>
      </w:r>
      <w:proofErr w:type="spellEnd"/>
      <w:proofErr w:type="gramStart"/>
      <w:r>
        <w:rPr>
          <w:rFonts w:ascii="Calibri" w:eastAsia="Times New Roman" w:hAnsi="Calibri" w:cs="Calibri"/>
          <w:b/>
          <w:bCs/>
          <w:lang w:eastAsia="pt-BR"/>
        </w:rPr>
        <w:t xml:space="preserve">  </w:t>
      </w:r>
      <w:proofErr w:type="gramEnd"/>
      <w:r>
        <w:rPr>
          <w:rFonts w:ascii="Calibri" w:eastAsia="Times New Roman" w:hAnsi="Calibri" w:cs="Calibri"/>
          <w:b/>
          <w:bCs/>
          <w:lang w:eastAsia="pt-BR"/>
        </w:rPr>
        <w:t>1,0g IV de 8/8 horas</w:t>
      </w:r>
    </w:p>
    <w:p w:rsidR="00231C3F" w:rsidRDefault="00231C3F" w:rsidP="00231C3F">
      <w:pPr>
        <w:spacing w:after="0" w:line="240" w:lineRule="auto"/>
        <w:ind w:left="720"/>
        <w:rPr>
          <w:rFonts w:ascii="Calibri" w:eastAsia="Times New Roman" w:hAnsi="Calibri" w:cs="Calibri"/>
          <w:b/>
          <w:bCs/>
          <w:lang w:eastAsia="pt-BR"/>
        </w:rPr>
      </w:pPr>
    </w:p>
    <w:p w:rsidR="00231C3F" w:rsidRPr="00991F11" w:rsidRDefault="00231C3F" w:rsidP="00231C3F">
      <w:pPr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1848F2" w:rsidRPr="00CE3E20" w:rsidRDefault="001848F2" w:rsidP="00CE3E20">
      <w:pPr>
        <w:pStyle w:val="PargrafodaLista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</w:pPr>
      <w:proofErr w:type="spellStart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>Colecistite</w:t>
      </w:r>
      <w:proofErr w:type="spellEnd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 xml:space="preserve"> Aguda ou </w:t>
      </w:r>
      <w:proofErr w:type="spellStart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>Colangite</w:t>
      </w:r>
      <w:proofErr w:type="spellEnd"/>
      <w:r w:rsidRPr="00CE3E20">
        <w:rPr>
          <w:rFonts w:ascii="Calibri" w:eastAsia="Times New Roman" w:hAnsi="Calibri" w:cs="Calibri"/>
          <w:b/>
          <w:bCs/>
          <w:color w:val="E36C0A" w:themeColor="accent6" w:themeShade="BF"/>
          <w:u w:val="single"/>
          <w:lang w:eastAsia="pt-BR"/>
        </w:rPr>
        <w:t xml:space="preserve"> Aguda Grau III</w:t>
      </w:r>
    </w:p>
    <w:p w:rsidR="00CE3E20" w:rsidRDefault="00CE3E20" w:rsidP="001848F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lang w:eastAsia="pt-BR"/>
        </w:rPr>
        <w:t>Requer cobertura de amplo espectro, iniciada precocemente.</w:t>
      </w:r>
    </w:p>
    <w:p w:rsidR="001848F2" w:rsidRPr="00991F11" w:rsidRDefault="001848F2" w:rsidP="00CE3E20">
      <w:pPr>
        <w:spacing w:after="0" w:line="240" w:lineRule="auto"/>
        <w:rPr>
          <w:rFonts w:ascii="Calibri" w:eastAsia="Times New Roman" w:hAnsi="Calibri" w:cs="Calibri"/>
          <w:lang w:eastAsia="pt-BR"/>
        </w:rPr>
      </w:pPr>
      <w:r w:rsidRPr="00991F11">
        <w:rPr>
          <w:rFonts w:ascii="Calibri" w:eastAsia="Times New Roman" w:hAnsi="Calibri" w:cs="Calibri"/>
          <w:lang w:eastAsia="pt-BR"/>
        </w:rPr>
        <w:br/>
      </w:r>
      <w:r w:rsidR="00CE3E20" w:rsidRPr="00CE3E20">
        <w:rPr>
          <w:rFonts w:ascii="Calibri" w:eastAsia="Times New Roman" w:hAnsi="Calibri" w:cs="Calibri"/>
          <w:b/>
          <w:bCs/>
          <w:color w:val="E36C0A" w:themeColor="accent6" w:themeShade="BF"/>
          <w:lang w:eastAsia="pt-BR"/>
        </w:rPr>
        <w:t>Esquemas recomendados</w:t>
      </w:r>
      <w:r w:rsidRPr="00991F11">
        <w:rPr>
          <w:rFonts w:ascii="Calibri" w:eastAsia="Times New Roman" w:hAnsi="Calibri" w:cs="Calibri"/>
          <w:b/>
          <w:bCs/>
          <w:lang w:eastAsia="pt-BR"/>
        </w:rPr>
        <w:t>:</w:t>
      </w:r>
    </w:p>
    <w:p w:rsidR="001848F2" w:rsidRPr="00991F11" w:rsidRDefault="001848F2" w:rsidP="00CE3E20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Cs w:val="24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Piperacilina–Tazobactam</w:t>
      </w:r>
      <w:proofErr w:type="spellEnd"/>
      <w:r w:rsidR="00CE3E20">
        <w:rPr>
          <w:rFonts w:ascii="Calibri" w:eastAsia="Times New Roman" w:hAnsi="Calibri" w:cs="Calibri"/>
          <w:b/>
          <w:bCs/>
          <w:szCs w:val="24"/>
          <w:lang w:eastAsia="pt-BR"/>
        </w:rPr>
        <w:t xml:space="preserve"> 4,5g IV de 8/8 horas ou de 6/6 horas</w:t>
      </w:r>
    </w:p>
    <w:p w:rsidR="001848F2" w:rsidRPr="00CE3E20" w:rsidRDefault="001848F2" w:rsidP="00CE3E20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Cs w:val="24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Meropenem</w:t>
      </w:r>
      <w:proofErr w:type="spellEnd"/>
      <w:r w:rsidR="00CE3E20">
        <w:rPr>
          <w:rFonts w:ascii="Calibri" w:eastAsia="Times New Roman" w:hAnsi="Calibri" w:cs="Calibri"/>
          <w:b/>
          <w:bCs/>
          <w:szCs w:val="24"/>
          <w:lang w:eastAsia="pt-BR"/>
        </w:rPr>
        <w:t xml:space="preserve"> 1,0g IV de 8/8 horas</w:t>
      </w:r>
    </w:p>
    <w:p w:rsidR="00CE3E20" w:rsidRPr="00991F11" w:rsidRDefault="00CE3E20" w:rsidP="00CE3E20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Cs w:val="24"/>
          <w:lang w:eastAsia="pt-BR"/>
        </w:rPr>
      </w:pPr>
      <w:proofErr w:type="spellStart"/>
      <w:r>
        <w:rPr>
          <w:rFonts w:ascii="Calibri" w:eastAsia="Times New Roman" w:hAnsi="Calibri" w:cs="Calibri"/>
          <w:b/>
          <w:bCs/>
          <w:szCs w:val="24"/>
          <w:lang w:eastAsia="pt-BR"/>
        </w:rPr>
        <w:t>Ertapenem</w:t>
      </w:r>
      <w:proofErr w:type="spellEnd"/>
      <w:r>
        <w:rPr>
          <w:rFonts w:ascii="Calibri" w:eastAsia="Times New Roman" w:hAnsi="Calibri" w:cs="Calibri"/>
          <w:b/>
          <w:bCs/>
          <w:szCs w:val="24"/>
          <w:lang w:eastAsia="pt-BR"/>
        </w:rPr>
        <w:t xml:space="preserve"> 1,0g IV 1x ao dia</w:t>
      </w:r>
    </w:p>
    <w:p w:rsidR="001848F2" w:rsidRPr="00CE3E20" w:rsidRDefault="001848F2" w:rsidP="00CE3E20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Cs w:val="24"/>
          <w:lang w:eastAsia="pt-BR"/>
        </w:rPr>
      </w:pPr>
      <w:proofErr w:type="spellStart"/>
      <w:r w:rsidRPr="00991F11">
        <w:rPr>
          <w:rFonts w:ascii="Calibri" w:eastAsia="Times New Roman" w:hAnsi="Calibri" w:cs="Calibri"/>
          <w:b/>
          <w:bCs/>
          <w:szCs w:val="24"/>
          <w:lang w:eastAsia="pt-BR"/>
        </w:rPr>
        <w:t>Cefepime</w:t>
      </w:r>
      <w:proofErr w:type="spellEnd"/>
      <w:r w:rsidR="00CE3E20">
        <w:rPr>
          <w:rFonts w:ascii="Calibri" w:eastAsia="Times New Roman" w:hAnsi="Calibri" w:cs="Calibri"/>
          <w:b/>
          <w:bCs/>
          <w:szCs w:val="24"/>
          <w:lang w:eastAsia="pt-BR"/>
        </w:rPr>
        <w:t xml:space="preserve"> 2,0g IV de 8/8 horas</w:t>
      </w:r>
    </w:p>
    <w:p w:rsidR="00CE3E20" w:rsidRPr="00991F11" w:rsidRDefault="00CE3E20" w:rsidP="00CE3E20">
      <w:pPr>
        <w:spacing w:after="0" w:line="240" w:lineRule="auto"/>
        <w:ind w:left="720"/>
        <w:rPr>
          <w:rFonts w:ascii="Calibri" w:eastAsia="Times New Roman" w:hAnsi="Calibri" w:cs="Calibri"/>
          <w:szCs w:val="24"/>
          <w:lang w:eastAsia="pt-BR"/>
        </w:rPr>
      </w:pPr>
    </w:p>
    <w:p w:rsidR="001848F2" w:rsidRPr="00991F11" w:rsidRDefault="00CE3E20" w:rsidP="00CE3E20">
      <w:pPr>
        <w:spacing w:after="0" w:line="240" w:lineRule="auto"/>
        <w:rPr>
          <w:rFonts w:ascii="Calibri" w:eastAsia="Times New Roman" w:hAnsi="Calibri" w:cs="Calibri"/>
          <w:szCs w:val="24"/>
          <w:lang w:eastAsia="pt-BR"/>
        </w:rPr>
      </w:pPr>
      <w:r>
        <w:rPr>
          <w:rFonts w:ascii="Calibri" w:eastAsia="Times New Roman" w:hAnsi="Calibri" w:cs="Calibri"/>
          <w:szCs w:val="24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A </w:t>
      </w:r>
      <w:r w:rsidR="001848F2" w:rsidRPr="00991F11">
        <w:rPr>
          <w:rFonts w:ascii="Calibri" w:eastAsia="Times New Roman" w:hAnsi="Calibri" w:cs="Calibri"/>
          <w:b/>
          <w:bCs/>
          <w:szCs w:val="24"/>
          <w:lang w:eastAsia="pt-BR"/>
        </w:rPr>
        <w:t xml:space="preserve">associação com </w:t>
      </w:r>
      <w:r w:rsidR="001848F2" w:rsidRPr="00CE3E20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Vancomicina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</w:t>
      </w:r>
      <w:r w:rsidR="00B313B2">
        <w:rPr>
          <w:rFonts w:ascii="Calibri" w:eastAsia="Times New Roman" w:hAnsi="Calibri" w:cs="Calibri"/>
          <w:szCs w:val="24"/>
          <w:lang w:eastAsia="pt-BR"/>
        </w:rPr>
        <w:t xml:space="preserve">– 1,0 g IV de 12/12 horas - 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deve ser considerada quando houver suspeita de infecção por </w:t>
      </w:r>
      <w:proofErr w:type="spellStart"/>
      <w:r w:rsidR="001848F2" w:rsidRPr="00CE3E20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Enterococcus</w:t>
      </w:r>
      <w:proofErr w:type="spellEnd"/>
      <w:r w:rsidR="001848F2" w:rsidRPr="00CE3E20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 xml:space="preserve"> </w:t>
      </w:r>
      <w:proofErr w:type="spellStart"/>
      <w:r w:rsidR="001848F2" w:rsidRPr="00CE3E20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spp</w:t>
      </w:r>
      <w:proofErr w:type="spellEnd"/>
      <w:r w:rsidR="001848F2" w:rsidRPr="00CE3E20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.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, especialmente em pacientes com fatores de risco ou </w:t>
      </w:r>
      <w:r w:rsidR="001848F2" w:rsidRPr="00CE3E20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história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 </w:t>
      </w:r>
      <w:r w:rsidR="001848F2" w:rsidRPr="00CE3E20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internações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ou </w:t>
      </w:r>
      <w:r w:rsidR="001848F2" w:rsidRPr="00CE3E20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procedimentos prévios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>.</w:t>
      </w:r>
    </w:p>
    <w:p w:rsidR="001848F2" w:rsidRPr="00991F11" w:rsidRDefault="001848F2" w:rsidP="001848F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Cs w:val="27"/>
          <w:lang w:eastAsia="pt-BR"/>
        </w:rPr>
      </w:pPr>
      <w:r w:rsidRPr="00991F11">
        <w:rPr>
          <w:rFonts w:ascii="Calibri" w:eastAsia="Times New Roman" w:hAnsi="Calibri" w:cs="Calibri"/>
          <w:b/>
          <w:bCs/>
          <w:szCs w:val="27"/>
          <w:lang w:eastAsia="pt-BR"/>
        </w:rPr>
        <w:t xml:space="preserve">Uso do </w:t>
      </w:r>
      <w:proofErr w:type="spellStart"/>
      <w:r w:rsidRPr="00843082">
        <w:rPr>
          <w:rFonts w:ascii="Calibri" w:eastAsia="Times New Roman" w:hAnsi="Calibri" w:cs="Calibri"/>
          <w:b/>
          <w:bCs/>
          <w:color w:val="E36C0A" w:themeColor="accent6" w:themeShade="BF"/>
          <w:szCs w:val="27"/>
          <w:lang w:eastAsia="pt-BR"/>
        </w:rPr>
        <w:t>Metronidazol</w:t>
      </w:r>
      <w:proofErr w:type="spellEnd"/>
    </w:p>
    <w:p w:rsidR="00843082" w:rsidRDefault="00843082" w:rsidP="00A133A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Cs w:val="24"/>
          <w:lang w:eastAsia="pt-BR"/>
        </w:rPr>
      </w:pPr>
      <w:r>
        <w:rPr>
          <w:rFonts w:ascii="Calibri" w:eastAsia="Times New Roman" w:hAnsi="Calibri" w:cs="Calibri"/>
          <w:szCs w:val="24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A associação de </w:t>
      </w:r>
      <w:proofErr w:type="spellStart"/>
      <w:r w:rsidR="001848F2" w:rsidRPr="00843082">
        <w:rPr>
          <w:rFonts w:ascii="Calibri" w:eastAsia="Times New Roman" w:hAnsi="Calibri" w:cs="Calibri"/>
          <w:b/>
          <w:color w:val="E36C0A" w:themeColor="accent6" w:themeShade="BF"/>
          <w:szCs w:val="24"/>
          <w:lang w:eastAsia="pt-BR"/>
        </w:rPr>
        <w:t>Metronidazol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szCs w:val="24"/>
          <w:lang w:eastAsia="pt-BR"/>
        </w:rPr>
        <w:t xml:space="preserve">– </w:t>
      </w:r>
      <w:r w:rsidRPr="00843082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500mg IV de 8/8 horas</w:t>
      </w:r>
      <w:r>
        <w:rPr>
          <w:rFonts w:ascii="Calibri" w:eastAsia="Times New Roman" w:hAnsi="Calibri" w:cs="Calibri"/>
          <w:szCs w:val="24"/>
          <w:lang w:eastAsia="pt-BR"/>
        </w:rPr>
        <w:t xml:space="preserve"> -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deve ser realizada </w:t>
      </w:r>
      <w:r w:rsidR="001848F2" w:rsidRPr="00843082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apenas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em pacientes com </w:t>
      </w:r>
      <w:r w:rsidR="001848F2" w:rsidRPr="00843082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 xml:space="preserve">anastomose </w:t>
      </w:r>
      <w:proofErr w:type="spellStart"/>
      <w:r w:rsidR="001848F2" w:rsidRPr="00843082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>biliodigestiva</w:t>
      </w:r>
      <w:proofErr w:type="spellEnd"/>
      <w:r w:rsidR="001848F2" w:rsidRPr="00843082">
        <w:rPr>
          <w:rFonts w:ascii="Calibri" w:eastAsia="Times New Roman" w:hAnsi="Calibri" w:cs="Calibri"/>
          <w:b/>
          <w:bCs/>
          <w:color w:val="E36C0A" w:themeColor="accent6" w:themeShade="BF"/>
          <w:szCs w:val="24"/>
          <w:lang w:eastAsia="pt-BR"/>
        </w:rPr>
        <w:t xml:space="preserve"> prévia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>, devido ao risco aumentado de infecção por germes anaeróbios.</w:t>
      </w:r>
      <w:r>
        <w:rPr>
          <w:rFonts w:ascii="Calibri" w:eastAsia="Times New Roman" w:hAnsi="Calibri" w:cs="Calibri"/>
          <w:szCs w:val="24"/>
          <w:lang w:eastAsia="pt-BR"/>
        </w:rPr>
        <w:t xml:space="preserve"> </w:t>
      </w:r>
    </w:p>
    <w:p w:rsidR="001848F2" w:rsidRPr="00991F11" w:rsidRDefault="00843082" w:rsidP="00A133A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Cs w:val="24"/>
          <w:lang w:eastAsia="pt-BR"/>
        </w:rPr>
      </w:pPr>
      <w:r>
        <w:rPr>
          <w:rFonts w:ascii="Calibri" w:eastAsia="Times New Roman" w:hAnsi="Calibri" w:cs="Calibri"/>
          <w:szCs w:val="24"/>
          <w:lang w:eastAsia="pt-BR"/>
        </w:rPr>
        <w:t xml:space="preserve">   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Nos </w:t>
      </w:r>
      <w:r w:rsidR="00A133A8" w:rsidRPr="00843082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casos graves</w:t>
      </w:r>
      <w:r w:rsidR="00A133A8" w:rsidRPr="00991F11">
        <w:rPr>
          <w:rFonts w:ascii="Calibri" w:eastAsia="Times New Roman" w:hAnsi="Calibri" w:cs="Calibri"/>
          <w:szCs w:val="24"/>
          <w:lang w:eastAsia="pt-BR"/>
        </w:rPr>
        <w:t>,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</w:t>
      </w:r>
      <w:r w:rsidR="001848F2" w:rsidRPr="00843082">
        <w:rPr>
          <w:rFonts w:ascii="Calibri" w:eastAsia="Times New Roman" w:hAnsi="Calibri" w:cs="Calibri"/>
          <w:b/>
          <w:color w:val="E36C0A" w:themeColor="accent6" w:themeShade="BF"/>
          <w:szCs w:val="24"/>
          <w:lang w:eastAsia="pt-BR"/>
        </w:rPr>
        <w:t>Grau III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, o uso de </w:t>
      </w:r>
      <w:proofErr w:type="spellStart"/>
      <w:r>
        <w:rPr>
          <w:rFonts w:ascii="Calibri" w:eastAsia="Times New Roman" w:hAnsi="Calibri" w:cs="Calibri"/>
          <w:szCs w:val="24"/>
          <w:lang w:eastAsia="pt-BR"/>
        </w:rPr>
        <w:t>M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>etronidazol</w:t>
      </w:r>
      <w:proofErr w:type="spellEnd"/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</w:t>
      </w:r>
      <w:r w:rsidR="001848F2" w:rsidRPr="00843082">
        <w:rPr>
          <w:rFonts w:ascii="Calibri" w:eastAsia="Times New Roman" w:hAnsi="Calibri" w:cs="Calibri"/>
          <w:b/>
          <w:color w:val="E36C0A" w:themeColor="accent6" w:themeShade="BF"/>
          <w:szCs w:val="24"/>
          <w:lang w:eastAsia="pt-BR"/>
        </w:rPr>
        <w:t>não é indicado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, uma vez que os esquemas de </w:t>
      </w:r>
      <w:r w:rsidR="001848F2" w:rsidRPr="00843082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amplo espectro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 xml:space="preserve"> recomendados </w:t>
      </w:r>
      <w:r w:rsidR="001848F2" w:rsidRPr="00843082">
        <w:rPr>
          <w:rFonts w:ascii="Calibri" w:eastAsia="Times New Roman" w:hAnsi="Calibri" w:cs="Calibri"/>
          <w:color w:val="E36C0A" w:themeColor="accent6" w:themeShade="BF"/>
          <w:szCs w:val="24"/>
          <w:lang w:eastAsia="pt-BR"/>
        </w:rPr>
        <w:t>já contemplam cobertura anaeróbia adequada</w:t>
      </w:r>
      <w:r w:rsidR="001848F2" w:rsidRPr="00991F11">
        <w:rPr>
          <w:rFonts w:ascii="Calibri" w:eastAsia="Times New Roman" w:hAnsi="Calibri" w:cs="Calibri"/>
          <w:szCs w:val="24"/>
          <w:lang w:eastAsia="pt-BR"/>
        </w:rPr>
        <w:t>.</w:t>
      </w:r>
    </w:p>
    <w:p w:rsidR="00173E06" w:rsidRDefault="00173E06" w:rsidP="00A31ECD">
      <w:pPr>
        <w:jc w:val="both"/>
      </w:pPr>
    </w:p>
    <w:sectPr w:rsidR="00173E06" w:rsidSect="002434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0601" w:rsidRDefault="00000601" w:rsidP="00243450">
      <w:pPr>
        <w:spacing w:after="0" w:line="240" w:lineRule="auto"/>
      </w:pPr>
      <w:r>
        <w:separator/>
      </w:r>
    </w:p>
  </w:endnote>
  <w:endnote w:type="continuationSeparator" w:id="0">
    <w:p w:rsidR="00000601" w:rsidRDefault="00000601" w:rsidP="0024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243450">
        <w:rPr>
          <w:rFonts w:asciiTheme="majorHAnsi" w:hAnsiTheme="majorHAnsi"/>
          <w:noProof/>
        </w:rPr>
        <w:t>5</w:t>
      </w:r>
    </w:fldSimple>
  </w:p>
  <w:p w:rsidR="00243450" w:rsidRDefault="0024345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0601" w:rsidRDefault="00000601" w:rsidP="00243450">
      <w:pPr>
        <w:spacing w:after="0" w:line="240" w:lineRule="auto"/>
      </w:pPr>
      <w:r>
        <w:separator/>
      </w:r>
    </w:p>
  </w:footnote>
  <w:footnote w:type="continuationSeparator" w:id="0">
    <w:p w:rsidR="00000601" w:rsidRDefault="00000601" w:rsidP="00243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531080" o:spid="_x0000_s4098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531081" o:spid="_x0000_s4099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450" w:rsidRDefault="00243450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531079" o:spid="_x0000_s4097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27E86"/>
    <w:multiLevelType w:val="multilevel"/>
    <w:tmpl w:val="3D9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F392F"/>
    <w:multiLevelType w:val="multilevel"/>
    <w:tmpl w:val="E23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96E85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44159"/>
    <w:multiLevelType w:val="hybridMultilevel"/>
    <w:tmpl w:val="F8BCE87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F93D72"/>
    <w:multiLevelType w:val="multilevel"/>
    <w:tmpl w:val="0CD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C25D20"/>
    <w:multiLevelType w:val="multilevel"/>
    <w:tmpl w:val="A1D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426F88"/>
    <w:multiLevelType w:val="hybridMultilevel"/>
    <w:tmpl w:val="BAA6F16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400FAC"/>
    <w:multiLevelType w:val="hybridMultilevel"/>
    <w:tmpl w:val="BB3222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>
      <o:colormenu v:ext="edit" fillcolor="none [1304]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31ECD"/>
    <w:rsid w:val="00000601"/>
    <w:rsid w:val="00121BCC"/>
    <w:rsid w:val="001301C1"/>
    <w:rsid w:val="00132B6B"/>
    <w:rsid w:val="0014276A"/>
    <w:rsid w:val="00173E06"/>
    <w:rsid w:val="001848F2"/>
    <w:rsid w:val="002145FE"/>
    <w:rsid w:val="00231C3F"/>
    <w:rsid w:val="00243450"/>
    <w:rsid w:val="002C3CB4"/>
    <w:rsid w:val="005314EA"/>
    <w:rsid w:val="00637A52"/>
    <w:rsid w:val="00653634"/>
    <w:rsid w:val="00785486"/>
    <w:rsid w:val="00823C37"/>
    <w:rsid w:val="00843082"/>
    <w:rsid w:val="009405D9"/>
    <w:rsid w:val="00941512"/>
    <w:rsid w:val="00991F11"/>
    <w:rsid w:val="00A133A8"/>
    <w:rsid w:val="00A31ECD"/>
    <w:rsid w:val="00AB5048"/>
    <w:rsid w:val="00B313B2"/>
    <w:rsid w:val="00B50B5C"/>
    <w:rsid w:val="00BA6A4B"/>
    <w:rsid w:val="00CE3E20"/>
    <w:rsid w:val="00E44132"/>
    <w:rsid w:val="00EE4962"/>
    <w:rsid w:val="00F77CC3"/>
    <w:rsid w:val="00F92360"/>
    <w:rsid w:val="00FA4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2">
    <w:name w:val="heading 2"/>
    <w:basedOn w:val="Normal"/>
    <w:link w:val="Ttulo2Char"/>
    <w:uiPriority w:val="9"/>
    <w:qFormat/>
    <w:rsid w:val="00184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84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848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848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848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848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848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A6A4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2434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43450"/>
  </w:style>
  <w:style w:type="paragraph" w:styleId="Rodap">
    <w:name w:val="footer"/>
    <w:basedOn w:val="Normal"/>
    <w:link w:val="RodapChar"/>
    <w:uiPriority w:val="99"/>
    <w:unhideWhenUsed/>
    <w:rsid w:val="002434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3450"/>
  </w:style>
  <w:style w:type="paragraph" w:styleId="Textodebalo">
    <w:name w:val="Balloon Text"/>
    <w:basedOn w:val="Normal"/>
    <w:link w:val="TextodebaloChar"/>
    <w:uiPriority w:val="99"/>
    <w:semiHidden/>
    <w:unhideWhenUsed/>
    <w:rsid w:val="0024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34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5</Pages>
  <Words>1202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6</cp:revision>
  <dcterms:created xsi:type="dcterms:W3CDTF">2025-11-17T18:48:00Z</dcterms:created>
  <dcterms:modified xsi:type="dcterms:W3CDTF">2026-01-26T14:00:00Z</dcterms:modified>
</cp:coreProperties>
</file>