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B6DDE8" w:themeColor="accent5" w:themeTint="66"/>
  <w:body>
    <w:p w:rsidR="00B86F77" w:rsidRPr="00504489" w:rsidRDefault="002E538C" w:rsidP="00504489">
      <w:pPr>
        <w:shd w:val="clear" w:color="auto" w:fill="FBD4B4" w:themeFill="accent6" w:themeFillTint="66"/>
        <w:jc w:val="center"/>
        <w:rPr>
          <w:b/>
          <w:sz w:val="32"/>
        </w:rPr>
      </w:pPr>
      <w:r w:rsidRPr="00504489">
        <w:rPr>
          <w:b/>
          <w:sz w:val="32"/>
        </w:rPr>
        <w:t>LINFADENITE MESENTÉRICA</w:t>
      </w:r>
    </w:p>
    <w:p w:rsidR="002E538C" w:rsidRDefault="002E538C" w:rsidP="002E538C">
      <w:pPr>
        <w:jc w:val="both"/>
      </w:pPr>
    </w:p>
    <w:p w:rsidR="00504489" w:rsidRDefault="009B6366" w:rsidP="009B6366">
      <w:pPr>
        <w:jc w:val="both"/>
      </w:pPr>
      <w:r>
        <w:t xml:space="preserve">   </w:t>
      </w:r>
      <w:r w:rsidRPr="009B6366">
        <w:t xml:space="preserve">A </w:t>
      </w:r>
      <w:proofErr w:type="spellStart"/>
      <w:r w:rsidRPr="009B6366">
        <w:t>linfadenite</w:t>
      </w:r>
      <w:proofErr w:type="spellEnd"/>
      <w:r w:rsidRPr="009B6366">
        <w:t xml:space="preserve"> mesentérica é definida como um </w:t>
      </w:r>
      <w:r w:rsidRPr="00504489">
        <w:rPr>
          <w:color w:val="E36C0A" w:themeColor="accent6" w:themeShade="BF"/>
        </w:rPr>
        <w:t>processo inflamatório</w:t>
      </w:r>
      <w:r w:rsidRPr="009B6366">
        <w:t xml:space="preserve">, </w:t>
      </w:r>
      <w:r w:rsidRPr="00504489">
        <w:rPr>
          <w:color w:val="E36C0A" w:themeColor="accent6" w:themeShade="BF"/>
        </w:rPr>
        <w:t>infeccioso</w:t>
      </w:r>
      <w:r w:rsidRPr="009B6366">
        <w:t xml:space="preserve"> ou </w:t>
      </w:r>
      <w:r w:rsidRPr="00504489">
        <w:rPr>
          <w:color w:val="E36C0A" w:themeColor="accent6" w:themeShade="BF"/>
        </w:rPr>
        <w:t>reacional</w:t>
      </w:r>
      <w:r w:rsidRPr="009B6366">
        <w:t xml:space="preserve"> que </w:t>
      </w:r>
      <w:r w:rsidRPr="00504489">
        <w:rPr>
          <w:color w:val="E36C0A" w:themeColor="accent6" w:themeShade="BF"/>
        </w:rPr>
        <w:t>acomete</w:t>
      </w:r>
      <w:r w:rsidRPr="009B6366">
        <w:t xml:space="preserve"> os </w:t>
      </w:r>
      <w:proofErr w:type="spellStart"/>
      <w:r w:rsidRPr="00504489">
        <w:rPr>
          <w:color w:val="E36C0A" w:themeColor="accent6" w:themeShade="BF"/>
        </w:rPr>
        <w:t>linfonodos</w:t>
      </w:r>
      <w:proofErr w:type="spellEnd"/>
      <w:r w:rsidRPr="00504489">
        <w:rPr>
          <w:color w:val="E36C0A" w:themeColor="accent6" w:themeShade="BF"/>
        </w:rPr>
        <w:t xml:space="preserve"> do mesentério</w:t>
      </w:r>
      <w:r w:rsidRPr="009B6366">
        <w:t xml:space="preserve">, predominantemente </w:t>
      </w:r>
      <w:r w:rsidRPr="00504489">
        <w:rPr>
          <w:color w:val="E36C0A" w:themeColor="accent6" w:themeShade="BF"/>
        </w:rPr>
        <w:t>localizados</w:t>
      </w:r>
      <w:r w:rsidRPr="009B6366">
        <w:t xml:space="preserve"> no </w:t>
      </w:r>
      <w:r w:rsidRPr="00504489">
        <w:rPr>
          <w:color w:val="E36C0A" w:themeColor="accent6" w:themeShade="BF"/>
        </w:rPr>
        <w:t>quadrante inferior direito</w:t>
      </w:r>
      <w:r w:rsidRPr="009B6366">
        <w:t xml:space="preserve">, constituindo uma das causas mais </w:t>
      </w:r>
      <w:r>
        <w:t>frequentes de dor abdominal em</w:t>
      </w:r>
      <w:r w:rsidRPr="009B6366">
        <w:t xml:space="preserve"> adultos jovens. </w:t>
      </w:r>
    </w:p>
    <w:p w:rsidR="009B6366" w:rsidRPr="009B6366" w:rsidRDefault="00504489" w:rsidP="009B6366">
      <w:pPr>
        <w:jc w:val="both"/>
      </w:pPr>
      <w:r>
        <w:t xml:space="preserve">   </w:t>
      </w:r>
      <w:r w:rsidR="009B6366" w:rsidRPr="009B6366">
        <w:t xml:space="preserve">Sua </w:t>
      </w:r>
      <w:r w:rsidR="009B6366" w:rsidRPr="00504489">
        <w:rPr>
          <w:color w:val="E36C0A" w:themeColor="accent6" w:themeShade="BF"/>
        </w:rPr>
        <w:t>relevância</w:t>
      </w:r>
      <w:r w:rsidR="009B6366" w:rsidRPr="009B6366">
        <w:t xml:space="preserve"> clínica decorre principalmente da </w:t>
      </w:r>
      <w:r w:rsidR="009B6366" w:rsidRPr="00504489">
        <w:rPr>
          <w:b/>
          <w:color w:val="E36C0A" w:themeColor="accent6" w:themeShade="BF"/>
        </w:rPr>
        <w:t>capacidade de mimetizar quadros de abdome agudo inflamatório</w:t>
      </w:r>
      <w:r w:rsidR="009B6366" w:rsidRPr="009B6366">
        <w:t xml:space="preserve">, especialmente </w:t>
      </w:r>
      <w:r w:rsidR="009B6366" w:rsidRPr="00504489">
        <w:rPr>
          <w:b/>
          <w:color w:val="FF0000"/>
        </w:rPr>
        <w:t>apendicite</w:t>
      </w:r>
      <w:r w:rsidR="009B6366" w:rsidRPr="009B6366">
        <w:t xml:space="preserve">, o que exige </w:t>
      </w:r>
      <w:proofErr w:type="spellStart"/>
      <w:r w:rsidR="009B6366" w:rsidRPr="009B6366">
        <w:t>acurácia</w:t>
      </w:r>
      <w:proofErr w:type="spellEnd"/>
      <w:r w:rsidR="009B6366" w:rsidRPr="009B6366">
        <w:t xml:space="preserve"> diagnóstica para evitar intervenções desnecessárias.</w:t>
      </w:r>
    </w:p>
    <w:p w:rsidR="001C2EF3" w:rsidRDefault="009B6366" w:rsidP="009B6366">
      <w:pPr>
        <w:jc w:val="both"/>
      </w:pPr>
      <w:r>
        <w:t xml:space="preserve">   </w:t>
      </w:r>
      <w:r w:rsidRPr="009B6366">
        <w:t xml:space="preserve">Do ponto de vista </w:t>
      </w:r>
      <w:proofErr w:type="spellStart"/>
      <w:r w:rsidRPr="009B6366">
        <w:t>etiopatogênico</w:t>
      </w:r>
      <w:proofErr w:type="spellEnd"/>
      <w:r w:rsidRPr="009B6366">
        <w:t xml:space="preserve">, trata-se de uma </w:t>
      </w:r>
      <w:r w:rsidRPr="00504489">
        <w:rPr>
          <w:color w:val="E36C0A" w:themeColor="accent6" w:themeShade="BF"/>
        </w:rPr>
        <w:t xml:space="preserve">condição </w:t>
      </w:r>
      <w:r w:rsidRPr="00504489">
        <w:rPr>
          <w:b/>
          <w:bCs/>
          <w:color w:val="E36C0A" w:themeColor="accent6" w:themeShade="BF"/>
        </w:rPr>
        <w:t>multifatorial</w:t>
      </w:r>
      <w:r w:rsidRPr="009B6366">
        <w:t xml:space="preserve">, resultante de interações entre </w:t>
      </w:r>
      <w:r w:rsidRPr="00504489">
        <w:rPr>
          <w:color w:val="E36C0A" w:themeColor="accent6" w:themeShade="BF"/>
        </w:rPr>
        <w:t>mecanismos infecciosos</w:t>
      </w:r>
      <w:r w:rsidRPr="009B6366">
        <w:t xml:space="preserve">, </w:t>
      </w:r>
      <w:r w:rsidRPr="00504489">
        <w:rPr>
          <w:color w:val="E36C0A" w:themeColor="accent6" w:themeShade="BF"/>
        </w:rPr>
        <w:t>inflamatórios</w:t>
      </w:r>
      <w:r w:rsidRPr="009B6366">
        <w:t xml:space="preserve">, </w:t>
      </w:r>
      <w:r w:rsidRPr="00504489">
        <w:rPr>
          <w:color w:val="E36C0A" w:themeColor="accent6" w:themeShade="BF"/>
        </w:rPr>
        <w:t>imunológicos</w:t>
      </w:r>
      <w:r w:rsidRPr="009B6366">
        <w:t xml:space="preserve"> e, em menor proporção, </w:t>
      </w:r>
      <w:r w:rsidRPr="00504489">
        <w:rPr>
          <w:color w:val="E36C0A" w:themeColor="accent6" w:themeShade="BF"/>
        </w:rPr>
        <w:t>neoplásicos</w:t>
      </w:r>
      <w:r w:rsidRPr="009B6366">
        <w:t xml:space="preserve">. Entre as causas infecciosas — que representam a </w:t>
      </w:r>
      <w:r w:rsidRPr="00504489">
        <w:rPr>
          <w:color w:val="E36C0A" w:themeColor="accent6" w:themeShade="BF"/>
        </w:rPr>
        <w:t>maioria dos casos</w:t>
      </w:r>
      <w:r w:rsidRPr="009B6366">
        <w:t xml:space="preserve"> — destacam-se as </w:t>
      </w:r>
      <w:r w:rsidRPr="00504489">
        <w:rPr>
          <w:color w:val="E36C0A" w:themeColor="accent6" w:themeShade="BF"/>
        </w:rPr>
        <w:t>bactérias gram-negativas</w:t>
      </w:r>
      <w:r w:rsidRPr="009B6366">
        <w:t xml:space="preserve"> </w:t>
      </w:r>
      <w:proofErr w:type="spellStart"/>
      <w:r w:rsidRPr="00504489">
        <w:rPr>
          <w:b/>
          <w:bCs/>
          <w:i/>
          <w:iCs/>
          <w:color w:val="E36C0A" w:themeColor="accent6" w:themeShade="BF"/>
        </w:rPr>
        <w:t>Yersinia</w:t>
      </w:r>
      <w:proofErr w:type="spellEnd"/>
      <w:r w:rsidRPr="00504489">
        <w:rPr>
          <w:b/>
          <w:bCs/>
          <w:i/>
          <w:iCs/>
          <w:color w:val="E36C0A" w:themeColor="accent6" w:themeShade="BF"/>
        </w:rPr>
        <w:t xml:space="preserve"> </w:t>
      </w:r>
      <w:proofErr w:type="spellStart"/>
      <w:r w:rsidRPr="00504489">
        <w:rPr>
          <w:b/>
          <w:bCs/>
          <w:i/>
          <w:iCs/>
          <w:color w:val="E36C0A" w:themeColor="accent6" w:themeShade="BF"/>
        </w:rPr>
        <w:t>enterocolitica</w:t>
      </w:r>
      <w:proofErr w:type="spellEnd"/>
      <w:r w:rsidRPr="009B6366">
        <w:t xml:space="preserve"> e </w:t>
      </w:r>
      <w:proofErr w:type="spellStart"/>
      <w:r w:rsidRPr="00504489">
        <w:rPr>
          <w:b/>
          <w:bCs/>
          <w:i/>
          <w:iCs/>
          <w:color w:val="E36C0A" w:themeColor="accent6" w:themeShade="BF"/>
        </w:rPr>
        <w:t>Yersinia</w:t>
      </w:r>
      <w:proofErr w:type="spellEnd"/>
      <w:r w:rsidRPr="00504489">
        <w:rPr>
          <w:b/>
          <w:bCs/>
          <w:i/>
          <w:iCs/>
          <w:color w:val="E36C0A" w:themeColor="accent6" w:themeShade="BF"/>
        </w:rPr>
        <w:t xml:space="preserve"> </w:t>
      </w:r>
      <w:proofErr w:type="spellStart"/>
      <w:r w:rsidRPr="00504489">
        <w:rPr>
          <w:b/>
          <w:bCs/>
          <w:i/>
          <w:iCs/>
          <w:color w:val="E36C0A" w:themeColor="accent6" w:themeShade="BF"/>
        </w:rPr>
        <w:t>pseudotuberculosis</w:t>
      </w:r>
      <w:proofErr w:type="spellEnd"/>
      <w:r w:rsidRPr="009B6366">
        <w:t xml:space="preserve">, cuja associação com </w:t>
      </w:r>
      <w:proofErr w:type="spellStart"/>
      <w:r w:rsidRPr="009B6366">
        <w:t>ileíte</w:t>
      </w:r>
      <w:proofErr w:type="spellEnd"/>
      <w:r w:rsidRPr="009B6366">
        <w:t xml:space="preserve"> terminal e </w:t>
      </w:r>
      <w:proofErr w:type="spellStart"/>
      <w:r w:rsidRPr="009B6366">
        <w:t>linfadenite</w:t>
      </w:r>
      <w:proofErr w:type="spellEnd"/>
      <w:r w:rsidRPr="009B6366">
        <w:t xml:space="preserve"> mesentérica foi confirmada. Outros agentes etiológicos descritos incluem </w:t>
      </w:r>
      <w:proofErr w:type="spellStart"/>
      <w:r w:rsidRPr="00504489">
        <w:rPr>
          <w:i/>
          <w:iCs/>
          <w:color w:val="E36C0A" w:themeColor="accent6" w:themeShade="BF"/>
        </w:rPr>
        <w:t>Salmonella</w:t>
      </w:r>
      <w:proofErr w:type="spellEnd"/>
      <w:r w:rsidRPr="00504489">
        <w:rPr>
          <w:i/>
          <w:iCs/>
          <w:color w:val="E36C0A" w:themeColor="accent6" w:themeShade="BF"/>
        </w:rPr>
        <w:t xml:space="preserve"> </w:t>
      </w:r>
      <w:proofErr w:type="spellStart"/>
      <w:r w:rsidRPr="00504489">
        <w:rPr>
          <w:i/>
          <w:iCs/>
          <w:color w:val="E36C0A" w:themeColor="accent6" w:themeShade="BF"/>
        </w:rPr>
        <w:t>spp</w:t>
      </w:r>
      <w:proofErr w:type="spellEnd"/>
      <w:proofErr w:type="gramStart"/>
      <w:r w:rsidRPr="00504489">
        <w:rPr>
          <w:i/>
          <w:iCs/>
          <w:color w:val="E36C0A" w:themeColor="accent6" w:themeShade="BF"/>
        </w:rPr>
        <w:t>.</w:t>
      </w:r>
      <w:r w:rsidRPr="009B6366">
        <w:t>,</w:t>
      </w:r>
      <w:proofErr w:type="gramEnd"/>
      <w:r w:rsidRPr="009B6366">
        <w:t xml:space="preserve"> </w:t>
      </w:r>
      <w:proofErr w:type="spellStart"/>
      <w:r w:rsidRPr="00504489">
        <w:rPr>
          <w:i/>
          <w:iCs/>
          <w:color w:val="E36C0A" w:themeColor="accent6" w:themeShade="BF"/>
        </w:rPr>
        <w:t>Escherichia</w:t>
      </w:r>
      <w:proofErr w:type="spellEnd"/>
      <w:r w:rsidRPr="00504489">
        <w:rPr>
          <w:i/>
          <w:iCs/>
          <w:color w:val="E36C0A" w:themeColor="accent6" w:themeShade="BF"/>
        </w:rPr>
        <w:t xml:space="preserve"> coli</w:t>
      </w:r>
      <w:r w:rsidRPr="009B6366">
        <w:t xml:space="preserve"> e </w:t>
      </w:r>
      <w:r w:rsidRPr="00504489">
        <w:rPr>
          <w:color w:val="E36C0A" w:themeColor="accent6" w:themeShade="BF"/>
        </w:rPr>
        <w:t>estreptococos</w:t>
      </w:r>
      <w:r w:rsidRPr="009B6366">
        <w:t xml:space="preserve">. </w:t>
      </w:r>
    </w:p>
    <w:p w:rsidR="009B6366" w:rsidRPr="009B6366" w:rsidRDefault="001C2EF3" w:rsidP="009B6366">
      <w:pPr>
        <w:jc w:val="both"/>
      </w:pPr>
      <w:r>
        <w:t xml:space="preserve">   </w:t>
      </w:r>
      <w:r w:rsidR="009B6366" w:rsidRPr="009B6366">
        <w:t xml:space="preserve">As </w:t>
      </w:r>
      <w:r w:rsidR="009B6366" w:rsidRPr="00504489">
        <w:rPr>
          <w:color w:val="E36C0A" w:themeColor="accent6" w:themeShade="BF"/>
        </w:rPr>
        <w:t xml:space="preserve">causas </w:t>
      </w:r>
      <w:r w:rsidR="009B6366" w:rsidRPr="00504489">
        <w:rPr>
          <w:b/>
          <w:bCs/>
          <w:color w:val="E36C0A" w:themeColor="accent6" w:themeShade="BF"/>
        </w:rPr>
        <w:t>não infecciosas</w:t>
      </w:r>
      <w:r w:rsidR="009B6366" w:rsidRPr="009B6366">
        <w:t xml:space="preserve"> representam uma </w:t>
      </w:r>
      <w:r w:rsidR="009B6366" w:rsidRPr="00504489">
        <w:rPr>
          <w:b/>
          <w:color w:val="E36C0A" w:themeColor="accent6" w:themeShade="BF"/>
        </w:rPr>
        <w:t>minoria</w:t>
      </w:r>
      <w:r w:rsidR="009B6366" w:rsidRPr="009B6366">
        <w:t xml:space="preserve">, porém possuem importância clínica significativa, pois modificam o manejo e o prognóstico. Entre elas incluem-se </w:t>
      </w:r>
      <w:r w:rsidR="009B6366" w:rsidRPr="001841E0">
        <w:rPr>
          <w:b/>
          <w:color w:val="E36C0A" w:themeColor="accent6" w:themeShade="BF"/>
        </w:rPr>
        <w:t>doenças inflamatórias intestinais</w:t>
      </w:r>
      <w:r w:rsidR="009B6366" w:rsidRPr="009B6366">
        <w:t xml:space="preserve"> (particularmente a Doença de </w:t>
      </w:r>
      <w:proofErr w:type="spellStart"/>
      <w:r w:rsidR="009B6366" w:rsidRPr="009B6366">
        <w:t>Crohn</w:t>
      </w:r>
      <w:proofErr w:type="spellEnd"/>
      <w:r w:rsidR="009B6366" w:rsidRPr="009B6366">
        <w:t xml:space="preserve"> ileocecal), </w:t>
      </w:r>
      <w:r w:rsidR="009B6366" w:rsidRPr="001841E0">
        <w:rPr>
          <w:b/>
          <w:color w:val="E36C0A" w:themeColor="accent6" w:themeShade="BF"/>
        </w:rPr>
        <w:t>doenças autoimunes sistêmicas</w:t>
      </w:r>
      <w:r w:rsidR="009B6366" w:rsidRPr="009B6366">
        <w:t xml:space="preserve"> — como o lúpus eritematoso sistêmico —, além de </w:t>
      </w:r>
      <w:r w:rsidR="009B6366" w:rsidRPr="001841E0">
        <w:rPr>
          <w:b/>
          <w:color w:val="E36C0A" w:themeColor="accent6" w:themeShade="BF"/>
        </w:rPr>
        <w:t>neoplasias hematológicas</w:t>
      </w:r>
      <w:r w:rsidR="009B6366" w:rsidRPr="009B6366">
        <w:t xml:space="preserve">, especialmente </w:t>
      </w:r>
      <w:r w:rsidR="009B6366" w:rsidRPr="001841E0">
        <w:rPr>
          <w:b/>
          <w:color w:val="E36C0A" w:themeColor="accent6" w:themeShade="BF"/>
        </w:rPr>
        <w:t>linfomas</w:t>
      </w:r>
      <w:r w:rsidR="009B6366" w:rsidRPr="009B6366">
        <w:t xml:space="preserve">, que podem se apresentar inicialmente como </w:t>
      </w:r>
      <w:proofErr w:type="spellStart"/>
      <w:r w:rsidR="009B6366" w:rsidRPr="009B6366">
        <w:t>linfadenopatia</w:t>
      </w:r>
      <w:proofErr w:type="spellEnd"/>
      <w:r w:rsidR="009B6366" w:rsidRPr="009B6366">
        <w:t xml:space="preserve"> mesentérica persistente.</w:t>
      </w:r>
    </w:p>
    <w:p w:rsidR="009B6366" w:rsidRPr="009B6366" w:rsidRDefault="001C2EF3" w:rsidP="009B6366">
      <w:pPr>
        <w:jc w:val="both"/>
      </w:pPr>
      <w:r>
        <w:t xml:space="preserve">   </w:t>
      </w:r>
      <w:r w:rsidR="009B6366" w:rsidRPr="009B6366">
        <w:t xml:space="preserve">A </w:t>
      </w:r>
      <w:r w:rsidR="009B6366" w:rsidRPr="001841E0">
        <w:rPr>
          <w:color w:val="E36C0A" w:themeColor="accent6" w:themeShade="BF"/>
        </w:rPr>
        <w:t>fisiopatologia</w:t>
      </w:r>
      <w:r w:rsidR="009B6366" w:rsidRPr="009B6366">
        <w:t xml:space="preserve"> envolve, classicamente, </w:t>
      </w:r>
      <w:r w:rsidR="009B6366" w:rsidRPr="001841E0">
        <w:rPr>
          <w:b/>
          <w:bCs/>
          <w:color w:val="E36C0A" w:themeColor="accent6" w:themeShade="BF"/>
        </w:rPr>
        <w:t xml:space="preserve">hiperplasia reacional dos </w:t>
      </w:r>
      <w:proofErr w:type="spellStart"/>
      <w:r w:rsidR="009B6366" w:rsidRPr="001841E0">
        <w:rPr>
          <w:b/>
          <w:bCs/>
          <w:color w:val="E36C0A" w:themeColor="accent6" w:themeShade="BF"/>
        </w:rPr>
        <w:t>linfonodos</w:t>
      </w:r>
      <w:proofErr w:type="spellEnd"/>
      <w:r w:rsidR="009B6366" w:rsidRPr="001841E0">
        <w:rPr>
          <w:b/>
          <w:bCs/>
          <w:color w:val="E36C0A" w:themeColor="accent6" w:themeShade="BF"/>
        </w:rPr>
        <w:t xml:space="preserve"> mesentéricos</w:t>
      </w:r>
      <w:r w:rsidR="009B6366" w:rsidRPr="009B6366">
        <w:t xml:space="preserve"> desencadeada por </w:t>
      </w:r>
      <w:r w:rsidR="009B6366" w:rsidRPr="001841E0">
        <w:rPr>
          <w:color w:val="E36C0A" w:themeColor="accent6" w:themeShade="BF"/>
        </w:rPr>
        <w:t>estímulo antigênico luminal</w:t>
      </w:r>
      <w:r w:rsidR="009B6366" w:rsidRPr="009B6366">
        <w:t xml:space="preserve"> ou </w:t>
      </w:r>
      <w:r w:rsidR="009B6366" w:rsidRPr="001841E0">
        <w:rPr>
          <w:color w:val="E36C0A" w:themeColor="accent6" w:themeShade="BF"/>
        </w:rPr>
        <w:t>infecção do íleo terminal</w:t>
      </w:r>
      <w:r w:rsidR="009B6366" w:rsidRPr="009B6366">
        <w:t xml:space="preserve">. Em infecções por </w:t>
      </w:r>
      <w:proofErr w:type="spellStart"/>
      <w:r w:rsidR="009B6366" w:rsidRPr="009B6366">
        <w:rPr>
          <w:i/>
          <w:iCs/>
        </w:rPr>
        <w:t>Yersinia</w:t>
      </w:r>
      <w:proofErr w:type="spellEnd"/>
      <w:r w:rsidR="009B6366" w:rsidRPr="009B6366">
        <w:t xml:space="preserve">, há tropismo específico pela placa de </w:t>
      </w:r>
      <w:proofErr w:type="spellStart"/>
      <w:r w:rsidR="009B6366" w:rsidRPr="009B6366">
        <w:t>Peyer</w:t>
      </w:r>
      <w:proofErr w:type="spellEnd"/>
      <w:r w:rsidR="009B6366" w:rsidRPr="009B6366">
        <w:t xml:space="preserve">, com invasão </w:t>
      </w:r>
      <w:proofErr w:type="spellStart"/>
      <w:r w:rsidR="009B6366" w:rsidRPr="009B6366">
        <w:t>trans-mucosa</w:t>
      </w:r>
      <w:proofErr w:type="spellEnd"/>
      <w:r w:rsidR="009B6366" w:rsidRPr="009B6366">
        <w:t xml:space="preserve"> e disseminação linfática subsequente, resultando em reação inflamatória de maior intensidade e </w:t>
      </w:r>
      <w:proofErr w:type="spellStart"/>
      <w:r w:rsidR="009B6366" w:rsidRPr="009B6366">
        <w:t>linfonodos</w:t>
      </w:r>
      <w:proofErr w:type="spellEnd"/>
      <w:r w:rsidR="009B6366" w:rsidRPr="009B6366">
        <w:t xml:space="preserve"> frequentemente volumosos, com </w:t>
      </w:r>
      <w:proofErr w:type="spellStart"/>
      <w:r w:rsidR="009B6366" w:rsidRPr="009B6366">
        <w:t>hiperemia</w:t>
      </w:r>
      <w:proofErr w:type="spellEnd"/>
      <w:r w:rsidR="009B6366" w:rsidRPr="009B6366">
        <w:t xml:space="preserve"> adjacente e, ocasionalmente, </w:t>
      </w:r>
      <w:proofErr w:type="spellStart"/>
      <w:r w:rsidR="009B6366" w:rsidRPr="009B6366">
        <w:t>ileíte</w:t>
      </w:r>
      <w:proofErr w:type="spellEnd"/>
      <w:r w:rsidR="009B6366" w:rsidRPr="009B6366">
        <w:t xml:space="preserve"> segmentar.</w:t>
      </w:r>
    </w:p>
    <w:p w:rsidR="009B6366" w:rsidRPr="009B6366" w:rsidRDefault="001C2EF3" w:rsidP="009B6366">
      <w:pPr>
        <w:jc w:val="both"/>
      </w:pPr>
      <w:r>
        <w:t xml:space="preserve">   </w:t>
      </w:r>
      <w:r w:rsidR="009B6366" w:rsidRPr="009B6366">
        <w:t xml:space="preserve">Quanto à </w:t>
      </w:r>
      <w:r w:rsidR="009B6366" w:rsidRPr="00060D1C">
        <w:rPr>
          <w:b/>
          <w:bCs/>
          <w:color w:val="FF0000"/>
        </w:rPr>
        <w:t>classificação etiológica</w:t>
      </w:r>
      <w:r w:rsidR="009B6366" w:rsidRPr="009B6366">
        <w:t xml:space="preserve">, a </w:t>
      </w:r>
      <w:proofErr w:type="spellStart"/>
      <w:r w:rsidR="009B6366" w:rsidRPr="009B6366">
        <w:t>linfadenite</w:t>
      </w:r>
      <w:proofErr w:type="spellEnd"/>
      <w:r w:rsidR="009B6366" w:rsidRPr="009B6366">
        <w:t xml:space="preserve"> mesentérica é dividida em:</w:t>
      </w:r>
    </w:p>
    <w:p w:rsidR="009B6366" w:rsidRPr="009B6366" w:rsidRDefault="009B6366" w:rsidP="001C2EF3">
      <w:pPr>
        <w:pStyle w:val="PargrafodaLista"/>
        <w:numPr>
          <w:ilvl w:val="0"/>
          <w:numId w:val="2"/>
        </w:numPr>
        <w:jc w:val="both"/>
      </w:pPr>
      <w:proofErr w:type="spellStart"/>
      <w:r w:rsidRPr="00060D1C">
        <w:rPr>
          <w:b/>
          <w:bCs/>
          <w:color w:val="000000" w:themeColor="text1"/>
        </w:rPr>
        <w:t>Linfadenite</w:t>
      </w:r>
      <w:proofErr w:type="spellEnd"/>
      <w:r w:rsidRPr="00060D1C">
        <w:rPr>
          <w:b/>
          <w:bCs/>
          <w:color w:val="000000" w:themeColor="text1"/>
        </w:rPr>
        <w:t xml:space="preserve"> Mesentérica Primária</w:t>
      </w:r>
      <w:r>
        <w:t xml:space="preserve"> - c</w:t>
      </w:r>
      <w:r w:rsidRPr="009B6366">
        <w:t xml:space="preserve">aracteriza-se pela presença de </w:t>
      </w:r>
      <w:proofErr w:type="spellStart"/>
      <w:r w:rsidRPr="009B6366">
        <w:t>linfonodos</w:t>
      </w:r>
      <w:proofErr w:type="spellEnd"/>
      <w:r w:rsidRPr="009B6366">
        <w:t xml:space="preserve"> aumentados no mesentério ileocecal </w:t>
      </w:r>
      <w:r w:rsidRPr="00060D1C">
        <w:rPr>
          <w:b/>
          <w:bCs/>
          <w:color w:val="E36C0A" w:themeColor="accent6" w:themeShade="BF"/>
        </w:rPr>
        <w:t>sem evidência de processo patológico abdominal adjacente</w:t>
      </w:r>
      <w:r w:rsidRPr="009B6366">
        <w:t>, sendo frequentemente associada a infecções virais ou bacterianas inespecíficas. Corresponde ao quadro clássico observado na prática pediátrica, usualmente autolimitado.</w:t>
      </w:r>
    </w:p>
    <w:p w:rsidR="009B6366" w:rsidRPr="009B6366" w:rsidRDefault="009B6366" w:rsidP="001C2EF3">
      <w:pPr>
        <w:pStyle w:val="PargrafodaLista"/>
        <w:numPr>
          <w:ilvl w:val="0"/>
          <w:numId w:val="2"/>
        </w:numPr>
        <w:jc w:val="both"/>
      </w:pPr>
      <w:proofErr w:type="spellStart"/>
      <w:r w:rsidRPr="00060D1C">
        <w:rPr>
          <w:b/>
          <w:bCs/>
          <w:color w:val="000000" w:themeColor="text1"/>
        </w:rPr>
        <w:t>Linfadenite</w:t>
      </w:r>
      <w:proofErr w:type="spellEnd"/>
      <w:r w:rsidRPr="00060D1C">
        <w:rPr>
          <w:b/>
          <w:bCs/>
          <w:color w:val="000000" w:themeColor="text1"/>
        </w:rPr>
        <w:t xml:space="preserve"> Mesentérica Secundária</w:t>
      </w:r>
      <w:r>
        <w:t xml:space="preserve"> - o</w:t>
      </w:r>
      <w:r w:rsidRPr="009B6366">
        <w:t xml:space="preserve">corre quando o aumento dos </w:t>
      </w:r>
      <w:proofErr w:type="spellStart"/>
      <w:r w:rsidRPr="009B6366">
        <w:t>linfonodos</w:t>
      </w:r>
      <w:proofErr w:type="spellEnd"/>
      <w:r w:rsidRPr="009B6366">
        <w:t xml:space="preserve"> é </w:t>
      </w:r>
      <w:r w:rsidRPr="00060D1C">
        <w:rPr>
          <w:color w:val="E36C0A" w:themeColor="accent6" w:themeShade="BF"/>
        </w:rPr>
        <w:t>secundário</w:t>
      </w:r>
      <w:r w:rsidRPr="009B6366">
        <w:t xml:space="preserve"> a um </w:t>
      </w:r>
      <w:r w:rsidRPr="00060D1C">
        <w:rPr>
          <w:color w:val="E36C0A" w:themeColor="accent6" w:themeShade="BF"/>
        </w:rPr>
        <w:t>processo inflamatório</w:t>
      </w:r>
      <w:r w:rsidRPr="009B6366">
        <w:t xml:space="preserve">, </w:t>
      </w:r>
      <w:r w:rsidRPr="00060D1C">
        <w:rPr>
          <w:color w:val="E36C0A" w:themeColor="accent6" w:themeShade="BF"/>
        </w:rPr>
        <w:t>infeccioso</w:t>
      </w:r>
      <w:r w:rsidRPr="009B6366">
        <w:t xml:space="preserve"> ou </w:t>
      </w:r>
      <w:r w:rsidRPr="00060D1C">
        <w:rPr>
          <w:color w:val="E36C0A" w:themeColor="accent6" w:themeShade="BF"/>
        </w:rPr>
        <w:t>neoplásico</w:t>
      </w:r>
      <w:r w:rsidRPr="009B6366">
        <w:t xml:space="preserve"> </w:t>
      </w:r>
      <w:r w:rsidRPr="00060D1C">
        <w:rPr>
          <w:color w:val="E36C0A" w:themeColor="accent6" w:themeShade="BF"/>
        </w:rPr>
        <w:t>intra-abdominal</w:t>
      </w:r>
      <w:r w:rsidRPr="009B6366">
        <w:t xml:space="preserve"> definido. Enquadram-se nessa categoria casos decorrentes de </w:t>
      </w:r>
      <w:proofErr w:type="spellStart"/>
      <w:r w:rsidRPr="00060D1C">
        <w:rPr>
          <w:b/>
          <w:color w:val="E36C0A" w:themeColor="accent6" w:themeShade="BF"/>
        </w:rPr>
        <w:t>ileíte</w:t>
      </w:r>
      <w:proofErr w:type="spellEnd"/>
      <w:r w:rsidRPr="00060D1C">
        <w:rPr>
          <w:b/>
          <w:color w:val="E36C0A" w:themeColor="accent6" w:themeShade="BF"/>
        </w:rPr>
        <w:t xml:space="preserve"> bacteriana</w:t>
      </w:r>
      <w:r w:rsidRPr="009B6366">
        <w:t xml:space="preserve">, </w:t>
      </w:r>
      <w:r w:rsidRPr="00060D1C">
        <w:rPr>
          <w:color w:val="E36C0A" w:themeColor="accent6" w:themeShade="BF"/>
        </w:rPr>
        <w:t xml:space="preserve">Doença de </w:t>
      </w:r>
      <w:proofErr w:type="spellStart"/>
      <w:r w:rsidRPr="00060D1C">
        <w:rPr>
          <w:color w:val="E36C0A" w:themeColor="accent6" w:themeShade="BF"/>
        </w:rPr>
        <w:t>Crohn</w:t>
      </w:r>
      <w:proofErr w:type="spellEnd"/>
      <w:r w:rsidRPr="009B6366">
        <w:t xml:space="preserve">, </w:t>
      </w:r>
      <w:r w:rsidRPr="00060D1C">
        <w:rPr>
          <w:b/>
          <w:color w:val="E36C0A" w:themeColor="accent6" w:themeShade="BF"/>
        </w:rPr>
        <w:t>apendicite</w:t>
      </w:r>
      <w:r w:rsidRPr="009B6366">
        <w:t xml:space="preserve">, </w:t>
      </w:r>
      <w:r w:rsidRPr="00060D1C">
        <w:rPr>
          <w:color w:val="E36C0A" w:themeColor="accent6" w:themeShade="BF"/>
        </w:rPr>
        <w:t>tuberculose abdominal</w:t>
      </w:r>
      <w:r w:rsidRPr="009B6366">
        <w:t xml:space="preserve"> ou </w:t>
      </w:r>
      <w:r w:rsidRPr="00060D1C">
        <w:rPr>
          <w:b/>
          <w:color w:val="E36C0A" w:themeColor="accent6" w:themeShade="BF"/>
        </w:rPr>
        <w:t xml:space="preserve">neoplasias </w:t>
      </w:r>
      <w:proofErr w:type="spellStart"/>
      <w:r w:rsidRPr="00060D1C">
        <w:rPr>
          <w:b/>
          <w:color w:val="E36C0A" w:themeColor="accent6" w:themeShade="BF"/>
        </w:rPr>
        <w:t>hematolinfoides</w:t>
      </w:r>
      <w:proofErr w:type="spellEnd"/>
      <w:r w:rsidRPr="009B6366">
        <w:t>.</w:t>
      </w:r>
    </w:p>
    <w:p w:rsidR="009B6366" w:rsidRDefault="002E538C" w:rsidP="002E538C">
      <w:pPr>
        <w:jc w:val="both"/>
      </w:pPr>
      <w:r>
        <w:t xml:space="preserve">  </w:t>
      </w:r>
    </w:p>
    <w:p w:rsidR="009B6366" w:rsidRDefault="009B6366" w:rsidP="002E538C">
      <w:pPr>
        <w:jc w:val="both"/>
      </w:pPr>
    </w:p>
    <w:p w:rsidR="009B6366" w:rsidRDefault="00301EAC" w:rsidP="002E538C">
      <w:pPr>
        <w:jc w:val="both"/>
      </w:pPr>
      <w:r>
        <w:t xml:space="preserve">   </w:t>
      </w:r>
      <w:r w:rsidRPr="00301EAC">
        <w:t xml:space="preserve">A adenite mesentérica primária é mais comumente uma </w:t>
      </w:r>
      <w:proofErr w:type="spellStart"/>
      <w:r w:rsidRPr="00060D1C">
        <w:rPr>
          <w:b/>
          <w:color w:val="E36C0A" w:themeColor="accent6" w:themeShade="BF"/>
        </w:rPr>
        <w:t>linfadenopatia</w:t>
      </w:r>
      <w:proofErr w:type="spellEnd"/>
      <w:r w:rsidRPr="00301EAC">
        <w:t xml:space="preserve"> no </w:t>
      </w:r>
      <w:r w:rsidRPr="00060D1C">
        <w:rPr>
          <w:color w:val="E36C0A" w:themeColor="accent6" w:themeShade="BF"/>
        </w:rPr>
        <w:t>mesentério próximo ao íleo terminal</w:t>
      </w:r>
      <w:r w:rsidRPr="00301EAC">
        <w:t xml:space="preserve">, </w:t>
      </w:r>
      <w:r w:rsidRPr="00060D1C">
        <w:rPr>
          <w:b/>
          <w:color w:val="E36C0A" w:themeColor="accent6" w:themeShade="BF"/>
        </w:rPr>
        <w:t>sem uma causa subjacente identificável para a inflamação</w:t>
      </w:r>
      <w:r>
        <w:t>.</w:t>
      </w:r>
      <w:r w:rsidRPr="00301EAC">
        <w:t> </w:t>
      </w:r>
      <w:r>
        <w:t>T</w:t>
      </w:r>
      <w:r w:rsidRPr="00301EAC">
        <w:t xml:space="preserve">ambém pode ocorrer secundariamente à gastroenterite bacteriana ou viral. A fisiopatologia dessa infecção ocorre da seguinte forma: a bactéria/vírus é ingerida por via oral e consegue entrar na corrente sanguínea através da invasão do epitélio intestinal. O organismo então se localiza no tecido linfático nodal do corpo que circunda a mucosa intestinal; isso ocorre comumente nas placas de </w:t>
      </w:r>
      <w:proofErr w:type="spellStart"/>
      <w:r w:rsidRPr="00301EAC">
        <w:t>Peyer</w:t>
      </w:r>
      <w:proofErr w:type="spellEnd"/>
      <w:r w:rsidRPr="00301EAC">
        <w:t xml:space="preserve">. A partir daí, o organismo pode se disseminar regionalmente pelas vias linfáticas até os </w:t>
      </w:r>
      <w:proofErr w:type="spellStart"/>
      <w:r w:rsidRPr="00301EAC">
        <w:t>linfonodos</w:t>
      </w:r>
      <w:proofErr w:type="spellEnd"/>
      <w:r w:rsidRPr="00301EAC">
        <w:t xml:space="preserve"> mesentéricos, resultando em adenite mesentérica.</w:t>
      </w:r>
    </w:p>
    <w:p w:rsidR="009B6366" w:rsidRDefault="00301EAC" w:rsidP="002E538C">
      <w:pPr>
        <w:jc w:val="both"/>
      </w:pPr>
      <w:r>
        <w:t xml:space="preserve">   </w:t>
      </w:r>
      <w:r w:rsidR="00E67656" w:rsidRPr="00E67656">
        <w:t xml:space="preserve">A </w:t>
      </w:r>
      <w:r w:rsidR="00E67656" w:rsidRPr="00060D1C">
        <w:rPr>
          <w:color w:val="E36C0A" w:themeColor="accent6" w:themeShade="BF"/>
        </w:rPr>
        <w:t>apresentação clínica</w:t>
      </w:r>
      <w:r w:rsidR="00E67656" w:rsidRPr="00E67656">
        <w:t xml:space="preserve"> é </w:t>
      </w:r>
      <w:r w:rsidR="00E67656" w:rsidRPr="00060D1C">
        <w:rPr>
          <w:color w:val="E36C0A" w:themeColor="accent6" w:themeShade="BF"/>
        </w:rPr>
        <w:t>variável</w:t>
      </w:r>
      <w:r w:rsidR="00E67656" w:rsidRPr="00E67656">
        <w:t xml:space="preserve">, mas </w:t>
      </w:r>
      <w:r w:rsidR="00E67656" w:rsidRPr="00060D1C">
        <w:rPr>
          <w:b/>
          <w:color w:val="E36C0A" w:themeColor="accent6" w:themeShade="BF"/>
        </w:rPr>
        <w:t>frequentemente</w:t>
      </w:r>
      <w:r w:rsidR="00E67656">
        <w:t xml:space="preserve"> </w:t>
      </w:r>
      <w:r w:rsidR="00E67656" w:rsidRPr="00060D1C">
        <w:rPr>
          <w:color w:val="000000" w:themeColor="text1"/>
        </w:rPr>
        <w:t>mimetiza</w:t>
      </w:r>
      <w:r w:rsidR="00E67656">
        <w:t xml:space="preserve"> </w:t>
      </w:r>
      <w:r w:rsidR="00E67656" w:rsidRPr="00060D1C">
        <w:rPr>
          <w:b/>
          <w:color w:val="FF0000"/>
        </w:rPr>
        <w:t>apendicite aguda</w:t>
      </w:r>
      <w:r w:rsidR="00E67656">
        <w:t>.</w:t>
      </w:r>
    </w:p>
    <w:p w:rsidR="00E67656" w:rsidRPr="00E67656" w:rsidRDefault="00E67656" w:rsidP="00E67656">
      <w:pPr>
        <w:jc w:val="both"/>
      </w:pPr>
      <w:r>
        <w:t xml:space="preserve">  </w:t>
      </w:r>
      <w:r w:rsidRPr="00E67656">
        <w:t xml:space="preserve"> </w:t>
      </w:r>
      <w:r>
        <w:t xml:space="preserve">A </w:t>
      </w:r>
      <w:r w:rsidRPr="00060D1C">
        <w:rPr>
          <w:color w:val="E36C0A" w:themeColor="accent6" w:themeShade="BF"/>
        </w:rPr>
        <w:t>d</w:t>
      </w:r>
      <w:r w:rsidRPr="00060D1C">
        <w:rPr>
          <w:bCs/>
          <w:color w:val="E36C0A" w:themeColor="accent6" w:themeShade="BF"/>
        </w:rPr>
        <w:t>or abdominal</w:t>
      </w:r>
      <w:r>
        <w:t xml:space="preserve"> é</w:t>
      </w:r>
      <w:r w:rsidRPr="00E67656">
        <w:t xml:space="preserve"> geralmente localizada no </w:t>
      </w:r>
      <w:r w:rsidRPr="00060D1C">
        <w:rPr>
          <w:color w:val="E36C0A" w:themeColor="accent6" w:themeShade="BF"/>
        </w:rPr>
        <w:t>quadrante inferior direito</w:t>
      </w:r>
      <w:r w:rsidRPr="00E67656">
        <w:t xml:space="preserve"> ou </w:t>
      </w:r>
      <w:r w:rsidRPr="00060D1C">
        <w:rPr>
          <w:color w:val="E36C0A" w:themeColor="accent6" w:themeShade="BF"/>
        </w:rPr>
        <w:t>periumbilical</w:t>
      </w:r>
      <w:r w:rsidRPr="00E67656">
        <w:t xml:space="preserve">, de intensidade </w:t>
      </w:r>
      <w:r w:rsidRPr="00060D1C">
        <w:rPr>
          <w:color w:val="E36C0A" w:themeColor="accent6" w:themeShade="BF"/>
        </w:rPr>
        <w:t>leve</w:t>
      </w:r>
      <w:r w:rsidRPr="00E67656">
        <w:t xml:space="preserve"> a </w:t>
      </w:r>
      <w:r w:rsidRPr="00060D1C">
        <w:rPr>
          <w:color w:val="E36C0A" w:themeColor="accent6" w:themeShade="BF"/>
        </w:rPr>
        <w:t>moderada</w:t>
      </w:r>
      <w:r>
        <w:t xml:space="preserve">, </w:t>
      </w:r>
      <w:r w:rsidRPr="00060D1C">
        <w:rPr>
          <w:color w:val="E36C0A" w:themeColor="accent6" w:themeShade="BF"/>
        </w:rPr>
        <w:t>contínua</w:t>
      </w:r>
      <w:r>
        <w:t xml:space="preserve"> ou </w:t>
      </w:r>
      <w:r w:rsidRPr="00060D1C">
        <w:rPr>
          <w:color w:val="E36C0A" w:themeColor="accent6" w:themeShade="BF"/>
        </w:rPr>
        <w:t>intermitente</w:t>
      </w:r>
      <w:r>
        <w:t>. Na adenite mesentérica</w:t>
      </w:r>
      <w:r w:rsidRPr="00E67656">
        <w:t xml:space="preserve"> primária, a dor tende a ser mais difusa inicialmente e menos progressiva que a dor típica da apendicite.</w:t>
      </w:r>
      <w:r>
        <w:t xml:space="preserve"> </w:t>
      </w:r>
      <w:r w:rsidR="00EF1115">
        <w:t xml:space="preserve">Os sintomas comumente associados incluem </w:t>
      </w:r>
      <w:r w:rsidRPr="00060D1C">
        <w:rPr>
          <w:color w:val="E36C0A" w:themeColor="accent6" w:themeShade="BF"/>
        </w:rPr>
        <w:t>febre baixa</w:t>
      </w:r>
      <w:r>
        <w:t xml:space="preserve">; </w:t>
      </w:r>
      <w:r w:rsidRPr="00060D1C">
        <w:rPr>
          <w:color w:val="E36C0A" w:themeColor="accent6" w:themeShade="BF"/>
        </w:rPr>
        <w:t>mal-estar</w:t>
      </w:r>
      <w:r>
        <w:t xml:space="preserve">, </w:t>
      </w:r>
      <w:r w:rsidRPr="00060D1C">
        <w:rPr>
          <w:color w:val="E36C0A" w:themeColor="accent6" w:themeShade="BF"/>
        </w:rPr>
        <w:t>náuseas</w:t>
      </w:r>
      <w:r>
        <w:t xml:space="preserve"> e </w:t>
      </w:r>
      <w:r w:rsidRPr="00060D1C">
        <w:rPr>
          <w:color w:val="E36C0A" w:themeColor="accent6" w:themeShade="BF"/>
        </w:rPr>
        <w:t>vômitos</w:t>
      </w:r>
      <w:r w:rsidR="001D5021">
        <w:t xml:space="preserve">, podem ocorrer, mas com menor intensidade. </w:t>
      </w:r>
      <w:proofErr w:type="spellStart"/>
      <w:r w:rsidR="001D5021" w:rsidRPr="00060D1C">
        <w:rPr>
          <w:color w:val="E36C0A" w:themeColor="accent6" w:themeShade="BF"/>
        </w:rPr>
        <w:t>Diarréia</w:t>
      </w:r>
      <w:proofErr w:type="spellEnd"/>
      <w:r w:rsidR="001D5021">
        <w:t xml:space="preserve"> também pode estar associada nas etiologias infecciosas.</w:t>
      </w:r>
    </w:p>
    <w:p w:rsidR="00EF1115" w:rsidRPr="00EF1115" w:rsidRDefault="00EF1115" w:rsidP="00EF1115">
      <w:pPr>
        <w:jc w:val="both"/>
      </w:pPr>
      <w:r>
        <w:rPr>
          <w:bCs/>
        </w:rPr>
        <w:t xml:space="preserve">   Os a</w:t>
      </w:r>
      <w:r w:rsidRPr="00EF1115">
        <w:rPr>
          <w:bCs/>
        </w:rPr>
        <w:t xml:space="preserve">chados ao </w:t>
      </w:r>
      <w:r w:rsidRPr="00060D1C">
        <w:rPr>
          <w:b/>
          <w:bCs/>
          <w:color w:val="FF0000"/>
        </w:rPr>
        <w:t>exame físico</w:t>
      </w:r>
      <w:r>
        <w:rPr>
          <w:bCs/>
        </w:rPr>
        <w:t xml:space="preserve"> são: </w:t>
      </w:r>
      <w:r w:rsidRPr="00060D1C">
        <w:rPr>
          <w:bCs/>
          <w:color w:val="E36C0A" w:themeColor="accent6" w:themeShade="BF"/>
        </w:rPr>
        <w:t>d</w:t>
      </w:r>
      <w:r w:rsidRPr="00060D1C">
        <w:rPr>
          <w:color w:val="E36C0A" w:themeColor="accent6" w:themeShade="BF"/>
        </w:rPr>
        <w:t>or</w:t>
      </w:r>
      <w:r w:rsidRPr="00EF1115">
        <w:t xml:space="preserve"> à palpação em </w:t>
      </w:r>
      <w:r w:rsidRPr="00060D1C">
        <w:rPr>
          <w:color w:val="E36C0A" w:themeColor="accent6" w:themeShade="BF"/>
        </w:rPr>
        <w:t>quadrante inferior direito</w:t>
      </w:r>
      <w:r w:rsidRPr="00EF1115">
        <w:t xml:space="preserve">, muitas vezes </w:t>
      </w:r>
      <w:r w:rsidRPr="00EF1115">
        <w:rPr>
          <w:b/>
          <w:bCs/>
        </w:rPr>
        <w:t>menos localizada</w:t>
      </w:r>
      <w:r>
        <w:t xml:space="preserve"> que na apendicite; </w:t>
      </w:r>
      <w:r w:rsidRPr="00060D1C">
        <w:rPr>
          <w:color w:val="E36C0A" w:themeColor="accent6" w:themeShade="BF"/>
        </w:rPr>
        <w:t>ausência</w:t>
      </w:r>
      <w:r w:rsidRPr="00EF1115">
        <w:t xml:space="preserve"> de </w:t>
      </w:r>
      <w:r w:rsidRPr="00060D1C">
        <w:rPr>
          <w:color w:val="E36C0A" w:themeColor="accent6" w:themeShade="BF"/>
        </w:rPr>
        <w:t>sinais peritoneais</w:t>
      </w:r>
      <w:r>
        <w:t xml:space="preserve"> na maioria dos casos. </w:t>
      </w:r>
      <w:r w:rsidRPr="00060D1C">
        <w:rPr>
          <w:b/>
          <w:color w:val="E36C0A" w:themeColor="accent6" w:themeShade="BF"/>
        </w:rPr>
        <w:t>Dor migratória não é típica</w:t>
      </w:r>
      <w:r w:rsidRPr="00EF1115">
        <w:t>.</w:t>
      </w:r>
      <w:r>
        <w:t xml:space="preserve"> Nos casos de adenite </w:t>
      </w:r>
      <w:r w:rsidRPr="00EF1115">
        <w:t>primária, o paciente costuma manter bom estado geral.</w:t>
      </w:r>
    </w:p>
    <w:p w:rsidR="002E538C" w:rsidRDefault="00EF1115" w:rsidP="002E538C">
      <w:pPr>
        <w:jc w:val="both"/>
      </w:pPr>
      <w:r>
        <w:t xml:space="preserve">   </w:t>
      </w:r>
      <w:r w:rsidRPr="00EF1115">
        <w:t xml:space="preserve">A avaliação diagnóstica é baseada na combinação de </w:t>
      </w:r>
      <w:r w:rsidRPr="00EF1115">
        <w:rPr>
          <w:b/>
        </w:rPr>
        <w:t>clínica</w:t>
      </w:r>
      <w:r w:rsidRPr="00EF1115">
        <w:t xml:space="preserve">, </w:t>
      </w:r>
      <w:r w:rsidRPr="00EF1115">
        <w:rPr>
          <w:b/>
        </w:rPr>
        <w:t>exames laboratoriais</w:t>
      </w:r>
      <w:r w:rsidRPr="00EF1115">
        <w:t xml:space="preserve"> e </w:t>
      </w:r>
      <w:r w:rsidRPr="00EF1115">
        <w:rPr>
          <w:b/>
        </w:rPr>
        <w:t>imagem</w:t>
      </w:r>
      <w:r w:rsidRPr="00EF1115">
        <w:t>, com a ultrassonografia sendo o método de escolha.</w:t>
      </w:r>
    </w:p>
    <w:p w:rsidR="002E538C" w:rsidRDefault="00EF1115" w:rsidP="002E538C">
      <w:pPr>
        <w:jc w:val="both"/>
      </w:pPr>
      <w:r>
        <w:t xml:space="preserve">   Nos </w:t>
      </w:r>
      <w:r w:rsidRPr="00060D1C">
        <w:rPr>
          <w:b/>
          <w:color w:val="FF0000"/>
        </w:rPr>
        <w:t>exames laboratoriais</w:t>
      </w:r>
      <w:r>
        <w:t xml:space="preserve"> podem sem observados </w:t>
      </w:r>
      <w:r w:rsidR="00BF1D2B" w:rsidRPr="00BF1D2B">
        <w:rPr>
          <w:b/>
          <w:bCs/>
        </w:rPr>
        <w:t>alterações inflamatórias inespecíficas</w:t>
      </w:r>
      <w:r w:rsidR="00BF1D2B" w:rsidRPr="00BF1D2B">
        <w:t xml:space="preserve">, particularmente um </w:t>
      </w:r>
      <w:r w:rsidR="00BF1D2B" w:rsidRPr="00060D1C">
        <w:rPr>
          <w:b/>
          <w:color w:val="E36C0A" w:themeColor="accent6" w:themeShade="BF"/>
        </w:rPr>
        <w:t>aumento discreto</w:t>
      </w:r>
      <w:r w:rsidR="00BF1D2B" w:rsidRPr="00BF1D2B">
        <w:t xml:space="preserve"> da contagem de </w:t>
      </w:r>
      <w:r w:rsidR="00BF1D2B" w:rsidRPr="00060D1C">
        <w:rPr>
          <w:b/>
          <w:color w:val="E36C0A" w:themeColor="accent6" w:themeShade="BF"/>
        </w:rPr>
        <w:t>leucócitos</w:t>
      </w:r>
      <w:r>
        <w:t xml:space="preserve">, apesar de que hemograma normal, não descarta a patologia. </w:t>
      </w:r>
      <w:r w:rsidR="00DD5275" w:rsidRPr="00DD5275">
        <w:t xml:space="preserve">A </w:t>
      </w:r>
      <w:r w:rsidR="00DD5275" w:rsidRPr="00060D1C">
        <w:rPr>
          <w:b/>
          <w:bCs/>
          <w:color w:val="E36C0A" w:themeColor="accent6" w:themeShade="BF"/>
        </w:rPr>
        <w:t>proteína C-reativa</w:t>
      </w:r>
      <w:r w:rsidR="00DD5275" w:rsidRPr="00DD5275">
        <w:t xml:space="preserve"> pode apresentar elevação leve a moderada </w:t>
      </w:r>
      <w:r>
        <w:t>(valores altos sugerem etiologia</w:t>
      </w:r>
      <w:r w:rsidR="00BF1D2B">
        <w:t xml:space="preserve"> bacteriana ou doença associada).</w:t>
      </w:r>
    </w:p>
    <w:p w:rsidR="002E538C" w:rsidRDefault="00BF1D2B" w:rsidP="002E538C">
      <w:pPr>
        <w:jc w:val="both"/>
      </w:pPr>
      <w:r>
        <w:t xml:space="preserve">   </w:t>
      </w:r>
      <w:r w:rsidRPr="00BF1D2B">
        <w:t xml:space="preserve">A </w:t>
      </w:r>
      <w:r w:rsidRPr="005E19C8">
        <w:rPr>
          <w:b/>
          <w:bCs/>
          <w:color w:val="FF0000"/>
        </w:rPr>
        <w:t>ultrassonografia abdominal</w:t>
      </w:r>
      <w:r w:rsidRPr="00BF1D2B">
        <w:t xml:space="preserve"> representa o </w:t>
      </w:r>
      <w:r w:rsidRPr="005E19C8">
        <w:rPr>
          <w:b/>
          <w:bCs/>
          <w:color w:val="E36C0A" w:themeColor="accent6" w:themeShade="BF"/>
        </w:rPr>
        <w:t>método de escolha</w:t>
      </w:r>
      <w:r w:rsidRPr="00BF1D2B">
        <w:t xml:space="preserve"> para o diagnóstico de adenite mesentérica, em razão de sua elevada sensibilidade para identificação de </w:t>
      </w:r>
      <w:proofErr w:type="spellStart"/>
      <w:r w:rsidRPr="00BF1D2B">
        <w:t>linfonodos</w:t>
      </w:r>
      <w:proofErr w:type="spellEnd"/>
      <w:r w:rsidRPr="00BF1D2B">
        <w:t xml:space="preserve"> mesentéricos e capacidade de avaliar, simultaneamente, o apêndice e estruturas adjacentes.</w:t>
      </w:r>
    </w:p>
    <w:p w:rsidR="00BF1D2B" w:rsidRPr="00BF1D2B" w:rsidRDefault="00BF1D2B" w:rsidP="00BF1D2B">
      <w:pPr>
        <w:spacing w:after="0" w:line="240" w:lineRule="auto"/>
        <w:jc w:val="both"/>
      </w:pPr>
      <w:r w:rsidRPr="00BF1D2B">
        <w:t xml:space="preserve">Os </w:t>
      </w:r>
      <w:r w:rsidRPr="005E19C8">
        <w:rPr>
          <w:b/>
          <w:bCs/>
          <w:color w:val="000000" w:themeColor="text1"/>
        </w:rPr>
        <w:t xml:space="preserve">achados </w:t>
      </w:r>
      <w:proofErr w:type="spellStart"/>
      <w:r w:rsidRPr="005E19C8">
        <w:rPr>
          <w:b/>
          <w:bCs/>
          <w:color w:val="000000" w:themeColor="text1"/>
        </w:rPr>
        <w:t>ultrassonográficos</w:t>
      </w:r>
      <w:proofErr w:type="spellEnd"/>
      <w:r w:rsidRPr="005E19C8">
        <w:rPr>
          <w:b/>
          <w:bCs/>
          <w:color w:val="000000" w:themeColor="text1"/>
        </w:rPr>
        <w:t xml:space="preserve"> característicos</w:t>
      </w:r>
      <w:r w:rsidRPr="00BF1D2B">
        <w:t xml:space="preserve"> incluem:</w:t>
      </w:r>
    </w:p>
    <w:p w:rsidR="00BF1D2B" w:rsidRPr="00BF1D2B" w:rsidRDefault="00BF1D2B" w:rsidP="00BF1D2B">
      <w:pPr>
        <w:numPr>
          <w:ilvl w:val="0"/>
          <w:numId w:val="4"/>
        </w:numPr>
        <w:spacing w:after="0" w:line="240" w:lineRule="auto"/>
        <w:jc w:val="both"/>
      </w:pPr>
      <w:proofErr w:type="spellStart"/>
      <w:r w:rsidRPr="00922325">
        <w:rPr>
          <w:b/>
          <w:bCs/>
          <w:color w:val="E36C0A" w:themeColor="accent6" w:themeShade="BF"/>
        </w:rPr>
        <w:t>Linfonodos</w:t>
      </w:r>
      <w:proofErr w:type="spellEnd"/>
      <w:r w:rsidRPr="00922325">
        <w:rPr>
          <w:b/>
          <w:bCs/>
          <w:color w:val="E36C0A" w:themeColor="accent6" w:themeShade="BF"/>
        </w:rPr>
        <w:t xml:space="preserve"> mesentéricos aumentados</w:t>
      </w:r>
      <w:r w:rsidRPr="00BF1D2B">
        <w:t xml:space="preserve">, geralmente </w:t>
      </w:r>
      <w:r w:rsidRPr="00BF1D2B">
        <w:rPr>
          <w:b/>
        </w:rPr>
        <w:t>hipoecoicos</w:t>
      </w:r>
      <w:r w:rsidRPr="00BF1D2B">
        <w:t xml:space="preserve"> e agrupados no quadrante inferior direito;</w:t>
      </w:r>
    </w:p>
    <w:p w:rsidR="00BF1D2B" w:rsidRPr="00BF1D2B" w:rsidRDefault="00BF1D2B" w:rsidP="00BF1D2B">
      <w:pPr>
        <w:numPr>
          <w:ilvl w:val="0"/>
          <w:numId w:val="4"/>
        </w:numPr>
        <w:spacing w:after="0" w:line="240" w:lineRule="auto"/>
        <w:jc w:val="both"/>
      </w:pPr>
      <w:r w:rsidRPr="00922325">
        <w:rPr>
          <w:b/>
          <w:bCs/>
          <w:color w:val="E36C0A" w:themeColor="accent6" w:themeShade="BF"/>
        </w:rPr>
        <w:t xml:space="preserve">Presença de pelo menos um </w:t>
      </w:r>
      <w:proofErr w:type="spellStart"/>
      <w:r w:rsidRPr="00922325">
        <w:rPr>
          <w:b/>
          <w:bCs/>
          <w:color w:val="E36C0A" w:themeColor="accent6" w:themeShade="BF"/>
        </w:rPr>
        <w:t>linfonodo</w:t>
      </w:r>
      <w:proofErr w:type="spellEnd"/>
      <w:r w:rsidRPr="00922325">
        <w:rPr>
          <w:b/>
          <w:bCs/>
          <w:color w:val="E36C0A" w:themeColor="accent6" w:themeShade="BF"/>
        </w:rPr>
        <w:t xml:space="preserve"> medindo ≥ </w:t>
      </w:r>
      <w:proofErr w:type="gramStart"/>
      <w:r w:rsidRPr="00922325">
        <w:rPr>
          <w:b/>
          <w:bCs/>
          <w:color w:val="E36C0A" w:themeColor="accent6" w:themeShade="BF"/>
        </w:rPr>
        <w:t>8</w:t>
      </w:r>
      <w:proofErr w:type="gramEnd"/>
      <w:r w:rsidRPr="00922325">
        <w:rPr>
          <w:b/>
          <w:bCs/>
          <w:color w:val="E36C0A" w:themeColor="accent6" w:themeShade="BF"/>
        </w:rPr>
        <w:t xml:space="preserve"> mm</w:t>
      </w:r>
      <w:r w:rsidRPr="00922325">
        <w:t>;</w:t>
      </w:r>
    </w:p>
    <w:p w:rsidR="00BF1D2B" w:rsidRDefault="00BF1D2B" w:rsidP="00BF1D2B">
      <w:pPr>
        <w:numPr>
          <w:ilvl w:val="0"/>
          <w:numId w:val="4"/>
        </w:numPr>
        <w:spacing w:after="0" w:line="240" w:lineRule="auto"/>
        <w:jc w:val="both"/>
      </w:pPr>
      <w:r w:rsidRPr="00922325">
        <w:rPr>
          <w:b/>
          <w:color w:val="E36C0A" w:themeColor="accent6" w:themeShade="BF"/>
        </w:rPr>
        <w:t xml:space="preserve">Distribuição </w:t>
      </w:r>
      <w:proofErr w:type="spellStart"/>
      <w:r w:rsidRPr="00922325">
        <w:rPr>
          <w:b/>
          <w:color w:val="E36C0A" w:themeColor="accent6" w:themeShade="BF"/>
        </w:rPr>
        <w:t>linfonodal</w:t>
      </w:r>
      <w:proofErr w:type="spellEnd"/>
      <w:r w:rsidRPr="00922325">
        <w:rPr>
          <w:b/>
          <w:color w:val="E36C0A" w:themeColor="accent6" w:themeShade="BF"/>
        </w:rPr>
        <w:t xml:space="preserve"> compatível</w:t>
      </w:r>
      <w:r w:rsidRPr="00BF1D2B">
        <w:t xml:space="preserve"> com processo inflamatório reacional, podendo haver </w:t>
      </w:r>
      <w:r w:rsidRPr="00922325">
        <w:rPr>
          <w:color w:val="E36C0A" w:themeColor="accent6" w:themeShade="BF"/>
        </w:rPr>
        <w:t xml:space="preserve">discreto espessamento </w:t>
      </w:r>
      <w:proofErr w:type="spellStart"/>
      <w:r w:rsidRPr="00922325">
        <w:rPr>
          <w:color w:val="E36C0A" w:themeColor="accent6" w:themeShade="BF"/>
        </w:rPr>
        <w:t>ileal</w:t>
      </w:r>
      <w:proofErr w:type="spellEnd"/>
      <w:r w:rsidRPr="00922325">
        <w:rPr>
          <w:color w:val="E36C0A" w:themeColor="accent6" w:themeShade="BF"/>
        </w:rPr>
        <w:t xml:space="preserve"> adjacente</w:t>
      </w:r>
      <w:r w:rsidRPr="00BF1D2B">
        <w:t xml:space="preserve"> em casos associados a enterites infecciosas.</w:t>
      </w:r>
    </w:p>
    <w:p w:rsidR="00922325" w:rsidRPr="00BF1D2B" w:rsidRDefault="00922325" w:rsidP="00922325">
      <w:pPr>
        <w:spacing w:after="0" w:line="240" w:lineRule="auto"/>
        <w:ind w:left="720"/>
        <w:jc w:val="both"/>
      </w:pPr>
    </w:p>
    <w:p w:rsidR="00BF1D2B" w:rsidRPr="00BF1D2B" w:rsidRDefault="00BF1D2B" w:rsidP="00BF1D2B">
      <w:pPr>
        <w:spacing w:after="0"/>
        <w:jc w:val="both"/>
      </w:pPr>
      <w:r>
        <w:t xml:space="preserve">   </w:t>
      </w:r>
      <w:r w:rsidRPr="00BF1D2B">
        <w:t xml:space="preserve">A </w:t>
      </w:r>
      <w:r w:rsidRPr="00922325">
        <w:rPr>
          <w:b/>
          <w:bCs/>
          <w:color w:val="E36C0A" w:themeColor="accent6" w:themeShade="BF"/>
        </w:rPr>
        <w:t>demonstração inequívoca de um apêndice normal</w:t>
      </w:r>
      <w:r w:rsidRPr="00BF1D2B">
        <w:t xml:space="preserve">, com parede fina, sem </w:t>
      </w:r>
      <w:proofErr w:type="spellStart"/>
      <w:r w:rsidRPr="00BF1D2B">
        <w:t>hiperemia</w:t>
      </w:r>
      <w:proofErr w:type="spellEnd"/>
      <w:r w:rsidRPr="00BF1D2B">
        <w:t xml:space="preserve"> ao Doppler e sem sinais de apendicite, é componente </w:t>
      </w:r>
      <w:r w:rsidRPr="00922325">
        <w:rPr>
          <w:b/>
          <w:color w:val="FF0000"/>
        </w:rPr>
        <w:t>fundamental</w:t>
      </w:r>
      <w:r w:rsidRPr="00BF1D2B">
        <w:t xml:space="preserve"> </w:t>
      </w:r>
      <w:r>
        <w:t xml:space="preserve">para a confirmação </w:t>
      </w:r>
      <w:r w:rsidR="00DD5275">
        <w:t>do diagnóstico.</w:t>
      </w:r>
    </w:p>
    <w:p w:rsidR="002E538C" w:rsidRDefault="00DD5275" w:rsidP="002E538C">
      <w:pPr>
        <w:jc w:val="both"/>
      </w:pPr>
      <w:r>
        <w:lastRenderedPageBreak/>
        <w:t xml:space="preserve">   </w:t>
      </w:r>
      <w:r w:rsidRPr="00DD5275">
        <w:t xml:space="preserve">A </w:t>
      </w:r>
      <w:r w:rsidRPr="00922325">
        <w:rPr>
          <w:b/>
          <w:bCs/>
          <w:color w:val="FF0000"/>
        </w:rPr>
        <w:t>Tomografia Computadorizada</w:t>
      </w:r>
      <w:r w:rsidRPr="00DD5275">
        <w:t xml:space="preserve"> é indicada como </w:t>
      </w:r>
      <w:r w:rsidRPr="00922325">
        <w:rPr>
          <w:color w:val="E36C0A" w:themeColor="accent6" w:themeShade="BF"/>
        </w:rPr>
        <w:t>método complementar</w:t>
      </w:r>
      <w:r w:rsidRPr="00DD5275">
        <w:t xml:space="preserve"> na investigação </w:t>
      </w:r>
      <w:r>
        <w:t>diagnóstica</w:t>
      </w:r>
      <w:r w:rsidR="00922325">
        <w:t xml:space="preserve"> quando a </w:t>
      </w:r>
      <w:r w:rsidR="00922325" w:rsidRPr="00922325">
        <w:rPr>
          <w:color w:val="E36C0A" w:themeColor="accent6" w:themeShade="BF"/>
        </w:rPr>
        <w:t>ultrassonografia for</w:t>
      </w:r>
      <w:r w:rsidRPr="00922325">
        <w:rPr>
          <w:color w:val="E36C0A" w:themeColor="accent6" w:themeShade="BF"/>
        </w:rPr>
        <w:t xml:space="preserve"> inconclusiva</w:t>
      </w:r>
      <w:r w:rsidRPr="00DD5275">
        <w:t xml:space="preserve">. Seu uso é particularmente recomendado em </w:t>
      </w:r>
      <w:r w:rsidRPr="00922325">
        <w:rPr>
          <w:b/>
          <w:bCs/>
          <w:color w:val="E36C0A" w:themeColor="accent6" w:themeShade="BF"/>
        </w:rPr>
        <w:t>adultos com diagnóstico incerto</w:t>
      </w:r>
      <w:r w:rsidRPr="00DD5275">
        <w:t xml:space="preserve">, em casos de </w:t>
      </w:r>
      <w:r w:rsidRPr="00922325">
        <w:rPr>
          <w:b/>
          <w:bCs/>
          <w:color w:val="E36C0A" w:themeColor="accent6" w:themeShade="BF"/>
        </w:rPr>
        <w:t>dor intensa</w:t>
      </w:r>
      <w:r w:rsidRPr="00DD5275">
        <w:rPr>
          <w:b/>
          <w:bCs/>
        </w:rPr>
        <w:t xml:space="preserve"> </w:t>
      </w:r>
      <w:r w:rsidRPr="00922325">
        <w:rPr>
          <w:bCs/>
        </w:rPr>
        <w:t>ou</w:t>
      </w:r>
      <w:r w:rsidRPr="00DD5275">
        <w:rPr>
          <w:b/>
          <w:bCs/>
        </w:rPr>
        <w:t xml:space="preserve"> </w:t>
      </w:r>
      <w:r w:rsidRPr="00922325">
        <w:rPr>
          <w:b/>
          <w:bCs/>
          <w:color w:val="E36C0A" w:themeColor="accent6" w:themeShade="BF"/>
        </w:rPr>
        <w:t xml:space="preserve">evolução </w:t>
      </w:r>
      <w:proofErr w:type="gramStart"/>
      <w:r w:rsidRPr="00922325">
        <w:rPr>
          <w:b/>
          <w:bCs/>
          <w:color w:val="E36C0A" w:themeColor="accent6" w:themeShade="BF"/>
        </w:rPr>
        <w:t>clínica atípica</w:t>
      </w:r>
      <w:r w:rsidRPr="00922325">
        <w:t>,</w:t>
      </w:r>
      <w:r w:rsidRPr="00DD5275">
        <w:t xml:space="preserve"> diante de </w:t>
      </w:r>
      <w:r w:rsidRPr="00922325">
        <w:rPr>
          <w:b/>
          <w:bCs/>
          <w:color w:val="E36C0A" w:themeColor="accent6" w:themeShade="BF"/>
        </w:rPr>
        <w:t>achados laboratoriais sugestivos de maior gravidade</w:t>
      </w:r>
      <w:proofErr w:type="gramEnd"/>
      <w:r w:rsidRPr="00DD5275">
        <w:t xml:space="preserve">, ou quando há </w:t>
      </w:r>
      <w:r w:rsidRPr="00922325">
        <w:rPr>
          <w:b/>
          <w:bCs/>
          <w:color w:val="E36C0A" w:themeColor="accent6" w:themeShade="BF"/>
        </w:rPr>
        <w:t>suspeita de complicações</w:t>
      </w:r>
      <w:r w:rsidRPr="00DD5275">
        <w:t xml:space="preserve">, como abscesso ou </w:t>
      </w:r>
      <w:proofErr w:type="spellStart"/>
      <w:r w:rsidRPr="00DD5275">
        <w:t>linfonodos</w:t>
      </w:r>
      <w:proofErr w:type="spellEnd"/>
      <w:r w:rsidRPr="00DD5275">
        <w:t xml:space="preserve"> necróticos.</w:t>
      </w:r>
    </w:p>
    <w:p w:rsidR="00902CEC" w:rsidRPr="00902CEC" w:rsidRDefault="00DD5275" w:rsidP="00902CEC">
      <w:pPr>
        <w:jc w:val="both"/>
      </w:pPr>
      <w:r>
        <w:t xml:space="preserve">   </w:t>
      </w:r>
      <w:r w:rsidR="00902CEC" w:rsidRPr="00902CEC">
        <w:t xml:space="preserve">A </w:t>
      </w:r>
      <w:r w:rsidR="00902CEC" w:rsidRPr="00922325">
        <w:rPr>
          <w:b/>
          <w:bCs/>
          <w:color w:val="E36C0A" w:themeColor="accent6" w:themeShade="BF"/>
        </w:rPr>
        <w:t>conduta terapêutica</w:t>
      </w:r>
      <w:r w:rsidR="00902CEC" w:rsidRPr="00902CEC">
        <w:rPr>
          <w:b/>
          <w:bCs/>
        </w:rPr>
        <w:t xml:space="preserve"> </w:t>
      </w:r>
      <w:r w:rsidR="00902CEC" w:rsidRPr="00922325">
        <w:rPr>
          <w:bCs/>
        </w:rPr>
        <w:t>na</w:t>
      </w:r>
      <w:r w:rsidR="00902CEC" w:rsidRPr="00902CEC">
        <w:rPr>
          <w:b/>
          <w:bCs/>
        </w:rPr>
        <w:t xml:space="preserve"> adenite mesentérica </w:t>
      </w:r>
      <w:r w:rsidR="00902CEC" w:rsidRPr="00922325">
        <w:rPr>
          <w:bCs/>
        </w:rPr>
        <w:t>é</w:t>
      </w:r>
      <w:r w:rsidR="00902CEC" w:rsidRPr="00902CEC">
        <w:rPr>
          <w:b/>
          <w:bCs/>
        </w:rPr>
        <w:t xml:space="preserve"> </w:t>
      </w:r>
      <w:r w:rsidR="00902CEC" w:rsidRPr="00922325">
        <w:rPr>
          <w:b/>
          <w:bCs/>
          <w:color w:val="FF0000"/>
        </w:rPr>
        <w:t>predominantemente conservadora</w:t>
      </w:r>
      <w:r w:rsidR="00902CEC" w:rsidRPr="00902CEC">
        <w:t xml:space="preserve">, uma vez que se trata, na maior parte dos casos, de uma </w:t>
      </w:r>
      <w:r w:rsidR="00902CEC" w:rsidRPr="00922325">
        <w:rPr>
          <w:color w:val="E36C0A" w:themeColor="accent6" w:themeShade="BF"/>
        </w:rPr>
        <w:t>condição autolimitada</w:t>
      </w:r>
      <w:r w:rsidR="00902CEC" w:rsidRPr="00902CEC">
        <w:t xml:space="preserve">. O manejo clínico baseia-se em </w:t>
      </w:r>
      <w:r w:rsidR="00902CEC" w:rsidRPr="00922325">
        <w:rPr>
          <w:b/>
          <w:bCs/>
          <w:color w:val="E36C0A" w:themeColor="accent6" w:themeShade="BF"/>
        </w:rPr>
        <w:t>medidas de suporte</w:t>
      </w:r>
      <w:r w:rsidR="00902CEC" w:rsidRPr="00902CEC">
        <w:t xml:space="preserve">, incluindo adequada </w:t>
      </w:r>
      <w:r w:rsidR="00902CEC" w:rsidRPr="00922325">
        <w:rPr>
          <w:b/>
          <w:bCs/>
          <w:color w:val="E36C0A" w:themeColor="accent6" w:themeShade="BF"/>
        </w:rPr>
        <w:t>hidratação</w:t>
      </w:r>
      <w:r w:rsidR="00902CEC" w:rsidRPr="00902CEC">
        <w:t xml:space="preserve">, controle sintomático por meio de </w:t>
      </w:r>
      <w:r w:rsidR="00902CEC" w:rsidRPr="00922325">
        <w:rPr>
          <w:b/>
          <w:bCs/>
          <w:color w:val="E36C0A" w:themeColor="accent6" w:themeShade="BF"/>
        </w:rPr>
        <w:t>analgesia escalonada</w:t>
      </w:r>
      <w:r w:rsidR="00902CEC" w:rsidRPr="00902CEC">
        <w:t xml:space="preserve"> e </w:t>
      </w:r>
      <w:r w:rsidR="00902CEC" w:rsidRPr="00922325">
        <w:rPr>
          <w:b/>
          <w:bCs/>
          <w:color w:val="E36C0A" w:themeColor="accent6" w:themeShade="BF"/>
        </w:rPr>
        <w:t>observação clínica</w:t>
      </w:r>
      <w:r w:rsidR="00902CEC" w:rsidRPr="00902CEC">
        <w:t xml:space="preserve"> para monitorar a evolução do quadro e excluir diagnósticos diferenciais relevantes, especialmente apendicite aguda.</w:t>
      </w:r>
    </w:p>
    <w:p w:rsidR="00902CEC" w:rsidRPr="00902CEC" w:rsidRDefault="00902CEC" w:rsidP="00902CEC">
      <w:pPr>
        <w:jc w:val="both"/>
      </w:pPr>
      <w:r>
        <w:t xml:space="preserve">   </w:t>
      </w:r>
      <w:r w:rsidRPr="00902CEC">
        <w:t xml:space="preserve">O uso de </w:t>
      </w:r>
      <w:r w:rsidRPr="00922325">
        <w:rPr>
          <w:b/>
          <w:bCs/>
          <w:color w:val="FF0000"/>
        </w:rPr>
        <w:t>antibióticos</w:t>
      </w:r>
      <w:r w:rsidRPr="00902CEC">
        <w:rPr>
          <w:b/>
          <w:bCs/>
        </w:rPr>
        <w:t xml:space="preserve"> </w:t>
      </w:r>
      <w:r w:rsidRPr="00922325">
        <w:rPr>
          <w:b/>
          <w:bCs/>
          <w:color w:val="E36C0A" w:themeColor="accent6" w:themeShade="BF"/>
        </w:rPr>
        <w:t>não é recomendado de forma rotineira</w:t>
      </w:r>
      <w:r w:rsidRPr="00902CEC">
        <w:t xml:space="preserve">, sendo reservado apenas para situações nas quais há evidência clara de </w:t>
      </w:r>
      <w:r w:rsidRPr="00922325">
        <w:rPr>
          <w:color w:val="E36C0A" w:themeColor="accent6" w:themeShade="BF"/>
        </w:rPr>
        <w:t>etiologia bacteriana específica</w:t>
      </w:r>
      <w:r w:rsidRPr="00902CEC">
        <w:t xml:space="preserve">, sinais de </w:t>
      </w:r>
      <w:r w:rsidRPr="00922325">
        <w:rPr>
          <w:color w:val="E36C0A" w:themeColor="accent6" w:themeShade="BF"/>
        </w:rPr>
        <w:t>infecção sistêmica significativa</w:t>
      </w:r>
      <w:r w:rsidRPr="00902CEC">
        <w:t xml:space="preserve"> ou </w:t>
      </w:r>
      <w:r w:rsidRPr="00922325">
        <w:rPr>
          <w:color w:val="E36C0A" w:themeColor="accent6" w:themeShade="BF"/>
        </w:rPr>
        <w:t>doenças associadas que justifiquem sua indicação</w:t>
      </w:r>
      <w:r w:rsidRPr="00902CEC">
        <w:t>.</w:t>
      </w:r>
    </w:p>
    <w:p w:rsidR="00902CEC" w:rsidRDefault="00902CEC" w:rsidP="00902CEC">
      <w:pPr>
        <w:jc w:val="both"/>
      </w:pPr>
      <w:r>
        <w:t xml:space="preserve">   </w:t>
      </w:r>
      <w:r w:rsidRPr="00902CEC">
        <w:t xml:space="preserve">Na maioria dos pacientes, a </w:t>
      </w:r>
      <w:r w:rsidRPr="00922325">
        <w:rPr>
          <w:color w:val="E36C0A" w:themeColor="accent6" w:themeShade="BF"/>
        </w:rPr>
        <w:t>dor abdominal</w:t>
      </w:r>
      <w:r w:rsidRPr="00902CEC">
        <w:t xml:space="preserve"> apresenta </w:t>
      </w:r>
      <w:r w:rsidRPr="00922325">
        <w:rPr>
          <w:b/>
          <w:bCs/>
          <w:color w:val="E36C0A" w:themeColor="accent6" w:themeShade="BF"/>
        </w:rPr>
        <w:t>resolução progressiva</w:t>
      </w:r>
      <w:r w:rsidRPr="00902CEC">
        <w:t xml:space="preserve">, com </w:t>
      </w:r>
      <w:r w:rsidRPr="00922325">
        <w:rPr>
          <w:color w:val="E36C0A" w:themeColor="accent6" w:themeShade="BF"/>
        </w:rPr>
        <w:t>desaparecimento completo dos sintomas</w:t>
      </w:r>
      <w:r w:rsidRPr="00902CEC">
        <w:t xml:space="preserve"> em até </w:t>
      </w:r>
      <w:r w:rsidRPr="00922325">
        <w:rPr>
          <w:b/>
          <w:bCs/>
          <w:color w:val="FF0000"/>
        </w:rPr>
        <w:t>quatro semanas</w:t>
      </w:r>
      <w:r w:rsidRPr="00902CEC">
        <w:t>, sem repercussões ou sequelas tardias.</w:t>
      </w:r>
    </w:p>
    <w:p w:rsidR="00902CEC" w:rsidRPr="00902CEC" w:rsidRDefault="00902CEC" w:rsidP="00902CEC">
      <w:pPr>
        <w:jc w:val="both"/>
      </w:pPr>
    </w:p>
    <w:p w:rsidR="004C523E" w:rsidRDefault="004C523E" w:rsidP="00922325">
      <w:pPr>
        <w:pStyle w:val="Ttulo1"/>
        <w:jc w:val="center"/>
      </w:pPr>
      <w:r>
        <w:t>Informações e exames imprescindíveis para a adequada estratificação diagnóstica e definição da conduta inicial</w:t>
      </w:r>
    </w:p>
    <w:p w:rsidR="004C523E" w:rsidRDefault="004C523E" w:rsidP="00902CEC">
      <w:pPr>
        <w:ind w:firstLine="708"/>
        <w:jc w:val="both"/>
      </w:pPr>
    </w:p>
    <w:p w:rsidR="00902CEC" w:rsidRDefault="00902CEC" w:rsidP="00902CEC">
      <w:pPr>
        <w:pStyle w:val="PargrafodaLista"/>
        <w:numPr>
          <w:ilvl w:val="0"/>
          <w:numId w:val="5"/>
        </w:numPr>
        <w:jc w:val="both"/>
      </w:pPr>
      <w:proofErr w:type="gramStart"/>
      <w:r w:rsidRPr="00922325">
        <w:rPr>
          <w:color w:val="FF0000"/>
        </w:rPr>
        <w:t>Lembrar de</w:t>
      </w:r>
      <w:proofErr w:type="gramEnd"/>
      <w:r w:rsidRPr="00922325">
        <w:rPr>
          <w:color w:val="FF0000"/>
        </w:rPr>
        <w:t xml:space="preserve"> caracterizar ao máximo a dor abdominal que o paciente apresenta</w:t>
      </w:r>
      <w:r>
        <w:t>.</w:t>
      </w:r>
    </w:p>
    <w:p w:rsidR="00902CEC" w:rsidRDefault="00902CEC" w:rsidP="00902CEC">
      <w:pPr>
        <w:jc w:val="both"/>
        <w:rPr>
          <w:bCs/>
        </w:rPr>
      </w:pPr>
      <w:r>
        <w:t xml:space="preserve">   </w:t>
      </w:r>
      <w:r w:rsidRPr="00341B43">
        <w:t xml:space="preserve">O paciente com </w:t>
      </w:r>
      <w:r>
        <w:t>Adenite Mesentérica</w:t>
      </w:r>
      <w:r w:rsidRPr="00341B43">
        <w:t xml:space="preserve">, classicamente, apresenta </w:t>
      </w:r>
      <w:r w:rsidRPr="00922325">
        <w:rPr>
          <w:b/>
          <w:bCs/>
          <w:color w:val="E36C0A" w:themeColor="accent6" w:themeShade="BF"/>
        </w:rPr>
        <w:t>dor abdominal</w:t>
      </w:r>
      <w:r>
        <w:rPr>
          <w:bCs/>
        </w:rPr>
        <w:t xml:space="preserve">, em </w:t>
      </w:r>
      <w:r w:rsidRPr="00922325">
        <w:rPr>
          <w:bCs/>
          <w:color w:val="E36C0A" w:themeColor="accent6" w:themeShade="BF"/>
        </w:rPr>
        <w:t xml:space="preserve">fossa </w:t>
      </w:r>
      <w:proofErr w:type="spellStart"/>
      <w:r w:rsidRPr="00922325">
        <w:rPr>
          <w:bCs/>
          <w:color w:val="E36C0A" w:themeColor="accent6" w:themeShade="BF"/>
        </w:rPr>
        <w:t>ilíca</w:t>
      </w:r>
      <w:proofErr w:type="spellEnd"/>
      <w:r w:rsidRPr="00922325">
        <w:rPr>
          <w:bCs/>
          <w:color w:val="E36C0A" w:themeColor="accent6" w:themeShade="BF"/>
        </w:rPr>
        <w:t xml:space="preserve"> direita</w:t>
      </w:r>
      <w:r w:rsidR="00922325">
        <w:rPr>
          <w:bCs/>
        </w:rPr>
        <w:t xml:space="preserve"> ou </w:t>
      </w:r>
      <w:proofErr w:type="spellStart"/>
      <w:proofErr w:type="gramStart"/>
      <w:r w:rsidR="00922325" w:rsidRPr="00922325">
        <w:rPr>
          <w:bCs/>
          <w:color w:val="E36C0A" w:themeColor="accent6" w:themeShade="BF"/>
        </w:rPr>
        <w:t>p</w:t>
      </w:r>
      <w:r w:rsidRPr="00922325">
        <w:rPr>
          <w:bCs/>
          <w:color w:val="E36C0A" w:themeColor="accent6" w:themeShade="BF"/>
        </w:rPr>
        <w:t>eri</w:t>
      </w:r>
      <w:proofErr w:type="gramEnd"/>
      <w:r w:rsidRPr="00922325">
        <w:rPr>
          <w:bCs/>
          <w:color w:val="E36C0A" w:themeColor="accent6" w:themeShade="BF"/>
        </w:rPr>
        <w:t>-umbilical</w:t>
      </w:r>
      <w:proofErr w:type="spellEnd"/>
      <w:r>
        <w:rPr>
          <w:bCs/>
        </w:rPr>
        <w:t xml:space="preserve">, </w:t>
      </w:r>
      <w:r w:rsidR="00FC0240" w:rsidRPr="00E67656">
        <w:t xml:space="preserve">intensidade </w:t>
      </w:r>
      <w:r w:rsidR="00FC0240" w:rsidRPr="00922325">
        <w:rPr>
          <w:color w:val="E36C0A" w:themeColor="accent6" w:themeShade="BF"/>
        </w:rPr>
        <w:t>leve a moderada</w:t>
      </w:r>
      <w:r w:rsidR="00FC0240">
        <w:t xml:space="preserve">, </w:t>
      </w:r>
      <w:r w:rsidR="00FC0240" w:rsidRPr="00922325">
        <w:rPr>
          <w:color w:val="E36C0A" w:themeColor="accent6" w:themeShade="BF"/>
        </w:rPr>
        <w:t>contínua</w:t>
      </w:r>
      <w:r w:rsidR="00FC0240">
        <w:t xml:space="preserve"> </w:t>
      </w:r>
      <w:r w:rsidR="00AB3D98" w:rsidRPr="00AB3D98">
        <w:t xml:space="preserve">ou apresentar </w:t>
      </w:r>
      <w:r w:rsidR="00AB3D98" w:rsidRPr="00922325">
        <w:rPr>
          <w:b/>
          <w:bCs/>
          <w:color w:val="E36C0A" w:themeColor="accent6" w:themeShade="BF"/>
        </w:rPr>
        <w:t>caráter cólico-intermitente</w:t>
      </w:r>
      <w:r w:rsidR="00FC0240">
        <w:t xml:space="preserve">, </w:t>
      </w:r>
      <w:r w:rsidR="00FC0240" w:rsidRPr="00922325">
        <w:rPr>
          <w:color w:val="E36C0A" w:themeColor="accent6" w:themeShade="BF"/>
        </w:rPr>
        <w:t>sem irradiações</w:t>
      </w:r>
      <w:r w:rsidR="00FC0240">
        <w:t xml:space="preserve">, </w:t>
      </w:r>
      <w:r w:rsidR="00AB3D98">
        <w:t xml:space="preserve">descrita como </w:t>
      </w:r>
      <w:r w:rsidR="00AB3D98" w:rsidRPr="00922325">
        <w:rPr>
          <w:rStyle w:val="Forte"/>
          <w:color w:val="E36C0A" w:themeColor="accent6" w:themeShade="BF"/>
        </w:rPr>
        <w:t>peso</w:t>
      </w:r>
      <w:r w:rsidR="00AB3D98">
        <w:t xml:space="preserve">, </w:t>
      </w:r>
      <w:r w:rsidR="00AB3D98" w:rsidRPr="00922325">
        <w:rPr>
          <w:rStyle w:val="Forte"/>
          <w:color w:val="E36C0A" w:themeColor="accent6" w:themeShade="BF"/>
        </w:rPr>
        <w:t>aperto</w:t>
      </w:r>
      <w:r w:rsidR="00AB3D98">
        <w:t xml:space="preserve">, </w:t>
      </w:r>
      <w:r w:rsidR="00AB3D98" w:rsidRPr="00922325">
        <w:rPr>
          <w:rStyle w:val="Forte"/>
          <w:color w:val="E36C0A" w:themeColor="accent6" w:themeShade="BF"/>
        </w:rPr>
        <w:t>cólica</w:t>
      </w:r>
      <w:r w:rsidR="00AB3D98">
        <w:t xml:space="preserve"> ou “incômodo profundo”, </w:t>
      </w:r>
      <w:r w:rsidR="00AB3D98" w:rsidRPr="00922325">
        <w:rPr>
          <w:b/>
          <w:bCs/>
          <w:color w:val="E36C0A" w:themeColor="accent6" w:themeShade="BF"/>
        </w:rPr>
        <w:t>fatores de piora</w:t>
      </w:r>
      <w:r w:rsidR="00AB3D98" w:rsidRPr="00AB3D98">
        <w:t xml:space="preserve"> </w:t>
      </w:r>
      <w:r w:rsidR="00AB3D98">
        <w:t>incluem</w:t>
      </w:r>
      <w:r w:rsidR="00AB3D98" w:rsidRPr="00AB3D98">
        <w:t xml:space="preserve"> </w:t>
      </w:r>
      <w:r w:rsidR="00AB3D98" w:rsidRPr="00922325">
        <w:rPr>
          <w:color w:val="E36C0A" w:themeColor="accent6" w:themeShade="BF"/>
        </w:rPr>
        <w:t>movimentos bruscos</w:t>
      </w:r>
      <w:r w:rsidR="00AB3D98" w:rsidRPr="00AB3D98">
        <w:t xml:space="preserve">, </w:t>
      </w:r>
      <w:r w:rsidR="00AB3D98" w:rsidRPr="00922325">
        <w:rPr>
          <w:color w:val="E36C0A" w:themeColor="accent6" w:themeShade="BF"/>
        </w:rPr>
        <w:t>caminhar</w:t>
      </w:r>
      <w:r w:rsidR="00AB3D98" w:rsidRPr="00AB3D98">
        <w:t xml:space="preserve"> e, ocasionalmente, ingestão alimentar; o desconforto </w:t>
      </w:r>
      <w:r w:rsidR="00AB3D98" w:rsidRPr="00922325">
        <w:rPr>
          <w:color w:val="E36C0A" w:themeColor="accent6" w:themeShade="BF"/>
        </w:rPr>
        <w:t>tende a melhorar</w:t>
      </w:r>
      <w:r w:rsidR="00AB3D98" w:rsidRPr="00AB3D98">
        <w:t xml:space="preserve"> com </w:t>
      </w:r>
      <w:r w:rsidR="00AB3D98" w:rsidRPr="00922325">
        <w:rPr>
          <w:b/>
          <w:bCs/>
          <w:color w:val="E36C0A" w:themeColor="accent6" w:themeShade="BF"/>
        </w:rPr>
        <w:t>repouso</w:t>
      </w:r>
      <w:r w:rsidR="00AB3D98" w:rsidRPr="00922325">
        <w:rPr>
          <w:bCs/>
        </w:rPr>
        <w:t>.</w:t>
      </w:r>
    </w:p>
    <w:p w:rsidR="00AB3D98" w:rsidRPr="00AB3D98" w:rsidRDefault="00AB3D98" w:rsidP="00902CEC">
      <w:pPr>
        <w:jc w:val="both"/>
      </w:pPr>
      <w:r>
        <w:rPr>
          <w:bCs/>
        </w:rPr>
        <w:t xml:space="preserve">   </w:t>
      </w:r>
      <w:r w:rsidRPr="00922325">
        <w:rPr>
          <w:bCs/>
          <w:color w:val="FF0000"/>
        </w:rPr>
        <w:t>Sintomas associados</w:t>
      </w:r>
      <w:r>
        <w:rPr>
          <w:bCs/>
        </w:rPr>
        <w:t xml:space="preserve"> incluem: </w:t>
      </w:r>
      <w:r w:rsidRPr="00922325">
        <w:rPr>
          <w:bCs/>
          <w:color w:val="E36C0A" w:themeColor="accent6" w:themeShade="BF"/>
        </w:rPr>
        <w:t>história recente</w:t>
      </w:r>
      <w:r w:rsidRPr="00AB3D98">
        <w:rPr>
          <w:bCs/>
        </w:rPr>
        <w:t xml:space="preserve"> de </w:t>
      </w:r>
      <w:r w:rsidRPr="00922325">
        <w:rPr>
          <w:b/>
          <w:bCs/>
          <w:color w:val="E36C0A" w:themeColor="accent6" w:themeShade="BF"/>
        </w:rPr>
        <w:t>infecção viral</w:t>
      </w:r>
      <w:r w:rsidRPr="00AB3D98">
        <w:rPr>
          <w:b/>
          <w:bCs/>
        </w:rPr>
        <w:t xml:space="preserve"> </w:t>
      </w:r>
      <w:r w:rsidRPr="00922325">
        <w:rPr>
          <w:bCs/>
        </w:rPr>
        <w:t>ou</w:t>
      </w:r>
      <w:r w:rsidRPr="00AB3D98">
        <w:rPr>
          <w:b/>
          <w:bCs/>
        </w:rPr>
        <w:t xml:space="preserve"> </w:t>
      </w:r>
      <w:r w:rsidRPr="00922325">
        <w:rPr>
          <w:b/>
          <w:bCs/>
          <w:color w:val="E36C0A" w:themeColor="accent6" w:themeShade="BF"/>
        </w:rPr>
        <w:t>bacteriana</w:t>
      </w:r>
      <w:r w:rsidRPr="00AB3D98">
        <w:rPr>
          <w:bCs/>
        </w:rPr>
        <w:t>, especialmente gastroenterite,</w:t>
      </w:r>
      <w:r>
        <w:rPr>
          <w:bCs/>
        </w:rPr>
        <w:t xml:space="preserve"> </w:t>
      </w:r>
      <w:r w:rsidRPr="00922325">
        <w:rPr>
          <w:b/>
          <w:bCs/>
          <w:color w:val="E36C0A" w:themeColor="accent6" w:themeShade="BF"/>
        </w:rPr>
        <w:t>febre baixa</w:t>
      </w:r>
      <w:r w:rsidRPr="00AB3D98">
        <w:rPr>
          <w:bCs/>
        </w:rPr>
        <w:t xml:space="preserve">, </w:t>
      </w:r>
      <w:r w:rsidRPr="00922325">
        <w:rPr>
          <w:b/>
          <w:bCs/>
          <w:color w:val="E36C0A" w:themeColor="accent6" w:themeShade="BF"/>
        </w:rPr>
        <w:t>mal-estar</w:t>
      </w:r>
      <w:r w:rsidRPr="00AB3D98">
        <w:rPr>
          <w:bCs/>
        </w:rPr>
        <w:t xml:space="preserve"> e </w:t>
      </w:r>
      <w:r w:rsidRPr="00922325">
        <w:rPr>
          <w:b/>
          <w:bCs/>
          <w:color w:val="E36C0A" w:themeColor="accent6" w:themeShade="BF"/>
        </w:rPr>
        <w:t>náuseas</w:t>
      </w:r>
      <w:r>
        <w:rPr>
          <w:bCs/>
        </w:rPr>
        <w:t xml:space="preserve"> e </w:t>
      </w:r>
      <w:r w:rsidRPr="00922325">
        <w:rPr>
          <w:b/>
          <w:bCs/>
          <w:color w:val="E36C0A" w:themeColor="accent6" w:themeShade="BF"/>
        </w:rPr>
        <w:t>diarreia</w:t>
      </w:r>
      <w:r>
        <w:rPr>
          <w:bCs/>
        </w:rPr>
        <w:t>.</w:t>
      </w:r>
    </w:p>
    <w:p w:rsidR="002E538C" w:rsidRDefault="000D783E" w:rsidP="002E538C">
      <w:pPr>
        <w:jc w:val="both"/>
      </w:pPr>
      <w:r>
        <w:t xml:space="preserve">   </w:t>
      </w:r>
      <w:r w:rsidRPr="00341B43">
        <w:t xml:space="preserve">Ao </w:t>
      </w:r>
      <w:r w:rsidRPr="00922325">
        <w:rPr>
          <w:color w:val="FF0000"/>
        </w:rPr>
        <w:t xml:space="preserve">exame </w:t>
      </w:r>
      <w:r w:rsidR="00013FC9" w:rsidRPr="00922325">
        <w:rPr>
          <w:color w:val="FF0000"/>
        </w:rPr>
        <w:t xml:space="preserve">físico </w:t>
      </w:r>
      <w:r w:rsidRPr="00922325">
        <w:rPr>
          <w:color w:val="FF0000"/>
        </w:rPr>
        <w:t>abdominal</w:t>
      </w:r>
      <w:r w:rsidRPr="00341B43">
        <w:t>, o paciente costuma apresentar</w:t>
      </w:r>
      <w:r>
        <w:t xml:space="preserve"> </w:t>
      </w:r>
      <w:r w:rsidRPr="0013724C">
        <w:rPr>
          <w:color w:val="E36C0A" w:themeColor="accent6" w:themeShade="BF"/>
        </w:rPr>
        <w:t>abdômen plano</w:t>
      </w:r>
      <w:r>
        <w:t xml:space="preserve">, </w:t>
      </w:r>
      <w:r w:rsidRPr="0013724C">
        <w:rPr>
          <w:color w:val="E36C0A" w:themeColor="accent6" w:themeShade="BF"/>
        </w:rPr>
        <w:t xml:space="preserve">doloroso à palpação profunda em </w:t>
      </w:r>
      <w:proofErr w:type="gramStart"/>
      <w:r w:rsidRPr="0013724C">
        <w:rPr>
          <w:color w:val="E36C0A" w:themeColor="accent6" w:themeShade="BF"/>
        </w:rPr>
        <w:t>fossa ilíaca direita</w:t>
      </w:r>
      <w:r>
        <w:t xml:space="preserve">, com </w:t>
      </w:r>
      <w:r w:rsidRPr="0013724C">
        <w:rPr>
          <w:color w:val="E36C0A" w:themeColor="accent6" w:themeShade="BF"/>
        </w:rPr>
        <w:t>ruídos hidroaéreos normais</w:t>
      </w:r>
      <w:r>
        <w:t xml:space="preserve"> ou </w:t>
      </w:r>
      <w:r w:rsidRPr="0013724C">
        <w:rPr>
          <w:color w:val="E36C0A" w:themeColor="accent6" w:themeShade="BF"/>
        </w:rPr>
        <w:t>pouco diminuídos</w:t>
      </w:r>
      <w:r>
        <w:t>, sem defesa abdominal, com sinais de peritonite ausentes</w:t>
      </w:r>
      <w:proofErr w:type="gramEnd"/>
      <w:r>
        <w:t xml:space="preserve"> (</w:t>
      </w:r>
      <w:r w:rsidRPr="0013724C">
        <w:rPr>
          <w:b/>
          <w:color w:val="E36C0A" w:themeColor="accent6" w:themeShade="BF"/>
        </w:rPr>
        <w:t>Blumberg negativo</w:t>
      </w:r>
      <w:r>
        <w:t>).</w:t>
      </w:r>
      <w:r w:rsidR="00921EF1">
        <w:t xml:space="preserve"> Pode haver leve sensibilidade a palpação na região inferior do abdômen.</w:t>
      </w:r>
    </w:p>
    <w:p w:rsidR="00921EF1" w:rsidRDefault="00921EF1" w:rsidP="00921EF1">
      <w:pPr>
        <w:jc w:val="both"/>
      </w:pPr>
    </w:p>
    <w:p w:rsidR="00922325" w:rsidRDefault="00922325" w:rsidP="00921EF1">
      <w:pPr>
        <w:jc w:val="both"/>
      </w:pPr>
    </w:p>
    <w:p w:rsidR="00922325" w:rsidRDefault="00922325" w:rsidP="00921EF1">
      <w:pPr>
        <w:jc w:val="both"/>
      </w:pPr>
    </w:p>
    <w:p w:rsidR="00921EF1" w:rsidRDefault="00921EF1" w:rsidP="00921EF1">
      <w:pPr>
        <w:ind w:left="708" w:firstLine="708"/>
        <w:jc w:val="both"/>
      </w:pPr>
      <w:r>
        <w:lastRenderedPageBreak/>
        <w:t xml:space="preserve">Exames Laboratoriais que devem ser solicitados: </w:t>
      </w:r>
    </w:p>
    <w:p w:rsidR="00921EF1" w:rsidRDefault="00921EF1" w:rsidP="00921EF1">
      <w:pPr>
        <w:jc w:val="both"/>
      </w:pPr>
      <w:r>
        <w:t xml:space="preserve">- </w:t>
      </w:r>
      <w:r w:rsidRPr="0013724C">
        <w:rPr>
          <w:color w:val="E36C0A" w:themeColor="accent6" w:themeShade="BF"/>
        </w:rPr>
        <w:t>Hemograma</w:t>
      </w:r>
      <w:r>
        <w:tab/>
      </w:r>
      <w:r>
        <w:tab/>
        <w:t xml:space="preserve">- </w:t>
      </w:r>
      <w:r w:rsidRPr="0013724C">
        <w:rPr>
          <w:color w:val="E36C0A" w:themeColor="accent6" w:themeShade="BF"/>
        </w:rPr>
        <w:t>PCR</w:t>
      </w:r>
      <w:r>
        <w:tab/>
      </w:r>
      <w:r>
        <w:tab/>
        <w:t xml:space="preserve">- </w:t>
      </w:r>
      <w:proofErr w:type="spellStart"/>
      <w:r w:rsidRPr="0013724C">
        <w:rPr>
          <w:color w:val="E36C0A" w:themeColor="accent6" w:themeShade="BF"/>
        </w:rPr>
        <w:t>Creatinina</w:t>
      </w:r>
      <w:proofErr w:type="spellEnd"/>
      <w:r>
        <w:tab/>
      </w:r>
      <w:r>
        <w:tab/>
        <w:t xml:space="preserve">- </w:t>
      </w:r>
      <w:proofErr w:type="spellStart"/>
      <w:r w:rsidRPr="0013724C">
        <w:rPr>
          <w:color w:val="E36C0A" w:themeColor="accent6" w:themeShade="BF"/>
        </w:rPr>
        <w:t>Uréia</w:t>
      </w:r>
      <w:proofErr w:type="spellEnd"/>
    </w:p>
    <w:p w:rsidR="00921EF1" w:rsidRPr="00737C1A" w:rsidRDefault="00921EF1" w:rsidP="00921EF1">
      <w:pPr>
        <w:jc w:val="both"/>
      </w:pPr>
      <w:r>
        <w:t xml:space="preserve">- </w:t>
      </w:r>
      <w:r w:rsidRPr="0013724C">
        <w:rPr>
          <w:color w:val="E36C0A" w:themeColor="accent6" w:themeShade="BF"/>
        </w:rPr>
        <w:t>Sódio</w:t>
      </w:r>
      <w:r>
        <w:tab/>
      </w:r>
      <w:r>
        <w:tab/>
      </w:r>
      <w:r>
        <w:tab/>
        <w:t xml:space="preserve">- </w:t>
      </w:r>
      <w:r w:rsidRPr="0013724C">
        <w:rPr>
          <w:color w:val="E36C0A" w:themeColor="accent6" w:themeShade="BF"/>
        </w:rPr>
        <w:t>Potássio</w:t>
      </w:r>
      <w:r>
        <w:tab/>
        <w:t xml:space="preserve">- </w:t>
      </w:r>
      <w:r w:rsidRPr="0013724C">
        <w:rPr>
          <w:color w:val="E36C0A" w:themeColor="accent6" w:themeShade="BF"/>
        </w:rPr>
        <w:t>TAP</w:t>
      </w:r>
      <w:r>
        <w:tab/>
      </w:r>
      <w:r>
        <w:tab/>
      </w:r>
      <w:r>
        <w:tab/>
        <w:t xml:space="preserve">- </w:t>
      </w:r>
      <w:r w:rsidRPr="0013724C">
        <w:rPr>
          <w:color w:val="E36C0A" w:themeColor="accent6" w:themeShade="BF"/>
        </w:rPr>
        <w:t>PTTK</w:t>
      </w:r>
    </w:p>
    <w:p w:rsidR="00921EF1" w:rsidRDefault="00921EF1" w:rsidP="00921EF1">
      <w:pPr>
        <w:jc w:val="both"/>
      </w:pPr>
      <w:r>
        <w:t xml:space="preserve">- </w:t>
      </w:r>
      <w:r w:rsidRPr="0013724C">
        <w:rPr>
          <w:color w:val="E36C0A" w:themeColor="accent6" w:themeShade="BF"/>
        </w:rPr>
        <w:t>B-HCG</w:t>
      </w:r>
      <w:r w:rsidRPr="0013724C">
        <w:rPr>
          <w:color w:val="E36C0A" w:themeColor="accent6" w:themeShade="BF"/>
        </w:rPr>
        <w:tab/>
      </w:r>
      <w:r>
        <w:tab/>
      </w:r>
      <w:r>
        <w:tab/>
        <w:t xml:space="preserve">- </w:t>
      </w:r>
      <w:r w:rsidRPr="0013724C">
        <w:rPr>
          <w:color w:val="E36C0A" w:themeColor="accent6" w:themeShade="BF"/>
        </w:rPr>
        <w:t>Urina I</w:t>
      </w:r>
      <w:r>
        <w:t xml:space="preserve"> (EAS)</w:t>
      </w:r>
    </w:p>
    <w:p w:rsidR="002E538C" w:rsidRDefault="002E538C" w:rsidP="002E538C">
      <w:pPr>
        <w:jc w:val="both"/>
      </w:pPr>
    </w:p>
    <w:p w:rsidR="002E538C" w:rsidRDefault="00921EF1" w:rsidP="002E538C">
      <w:pPr>
        <w:jc w:val="both"/>
      </w:pPr>
      <w:r>
        <w:t xml:space="preserve">   Os </w:t>
      </w:r>
      <w:r w:rsidRPr="0013724C">
        <w:rPr>
          <w:b/>
          <w:color w:val="FF0000"/>
        </w:rPr>
        <w:t>exames laboratoriais</w:t>
      </w:r>
      <w:r>
        <w:t xml:space="preserve"> normalmente demonstram </w:t>
      </w:r>
      <w:r w:rsidRPr="0013724C">
        <w:rPr>
          <w:color w:val="E36C0A" w:themeColor="accent6" w:themeShade="BF"/>
        </w:rPr>
        <w:t>sinais inflamatórios sistêmicos inespecíficos</w:t>
      </w:r>
      <w:r>
        <w:t xml:space="preserve">. </w:t>
      </w:r>
      <w:r w:rsidRPr="0013724C">
        <w:rPr>
          <w:b/>
          <w:color w:val="E36C0A" w:themeColor="accent6" w:themeShade="BF"/>
        </w:rPr>
        <w:t>Leucocitose leve</w:t>
      </w:r>
      <w:r>
        <w:t xml:space="preserve"> com </w:t>
      </w:r>
      <w:r w:rsidRPr="0013724C">
        <w:rPr>
          <w:b/>
          <w:color w:val="E36C0A" w:themeColor="accent6" w:themeShade="BF"/>
        </w:rPr>
        <w:t>aumento discreto</w:t>
      </w:r>
      <w:r>
        <w:t xml:space="preserve"> de </w:t>
      </w:r>
      <w:r w:rsidRPr="0013724C">
        <w:rPr>
          <w:b/>
          <w:color w:val="E36C0A" w:themeColor="accent6" w:themeShade="BF"/>
        </w:rPr>
        <w:t>proteína C-reativa</w:t>
      </w:r>
      <w:r>
        <w:t xml:space="preserve">. </w:t>
      </w:r>
      <w:r w:rsidRPr="0013724C">
        <w:rPr>
          <w:rFonts w:cstheme="minorHAnsi"/>
          <w:color w:val="E36C0A" w:themeColor="accent6" w:themeShade="BF"/>
        </w:rPr>
        <w:t>Β</w:t>
      </w:r>
      <w:r w:rsidRPr="0013724C">
        <w:rPr>
          <w:color w:val="E36C0A" w:themeColor="accent6" w:themeShade="BF"/>
        </w:rPr>
        <w:t>-HCG</w:t>
      </w:r>
      <w:r>
        <w:t xml:space="preserve"> e </w:t>
      </w:r>
      <w:r w:rsidRPr="0013724C">
        <w:rPr>
          <w:color w:val="E36C0A" w:themeColor="accent6" w:themeShade="BF"/>
        </w:rPr>
        <w:t>exame de urina</w:t>
      </w:r>
      <w:r>
        <w:t xml:space="preserve"> são solicitados para </w:t>
      </w:r>
      <w:r w:rsidRPr="0013724C">
        <w:rPr>
          <w:color w:val="E36C0A" w:themeColor="accent6" w:themeShade="BF"/>
        </w:rPr>
        <w:t>diagnóstico diferencial</w:t>
      </w:r>
      <w:r>
        <w:t>.</w:t>
      </w:r>
    </w:p>
    <w:p w:rsidR="00921EF1" w:rsidRDefault="00921EF1" w:rsidP="002E538C">
      <w:pPr>
        <w:jc w:val="both"/>
      </w:pPr>
      <w:r>
        <w:t xml:space="preserve">   </w:t>
      </w:r>
      <w:r w:rsidRPr="0013724C">
        <w:rPr>
          <w:b/>
          <w:color w:val="E36C0A" w:themeColor="accent6" w:themeShade="BF"/>
        </w:rPr>
        <w:t>Todos os pacientes</w:t>
      </w:r>
      <w:r>
        <w:t xml:space="preserve"> com </w:t>
      </w:r>
      <w:r w:rsidRPr="0013724C">
        <w:rPr>
          <w:b/>
          <w:color w:val="E36C0A" w:themeColor="accent6" w:themeShade="BF"/>
        </w:rPr>
        <w:t>suspeita clínica</w:t>
      </w:r>
      <w:r>
        <w:t xml:space="preserve"> de Adenite Mesentérica</w:t>
      </w:r>
      <w:proofErr w:type="gramStart"/>
      <w:r>
        <w:t>, devem</w:t>
      </w:r>
      <w:proofErr w:type="gramEnd"/>
      <w:r>
        <w:t xml:space="preserve"> ser submetidos à </w:t>
      </w:r>
      <w:r w:rsidRPr="0013724C">
        <w:rPr>
          <w:b/>
          <w:color w:val="FF0000"/>
        </w:rPr>
        <w:t>ultrassonografia de abdômen total</w:t>
      </w:r>
      <w:r>
        <w:t>.</w:t>
      </w:r>
    </w:p>
    <w:p w:rsidR="00921EF1" w:rsidRDefault="00921EF1" w:rsidP="002E538C">
      <w:pPr>
        <w:jc w:val="both"/>
      </w:pPr>
      <w:r>
        <w:t xml:space="preserve">   Os pacientes devem permanecer em </w:t>
      </w:r>
      <w:r w:rsidRPr="0013724C">
        <w:rPr>
          <w:b/>
          <w:color w:val="FF0000"/>
        </w:rPr>
        <w:t>jejum via oral</w:t>
      </w:r>
      <w:r>
        <w:t>, com medidas de suporte clínico.</w:t>
      </w:r>
    </w:p>
    <w:p w:rsidR="00921EF1" w:rsidRPr="0013724C" w:rsidRDefault="00921EF1" w:rsidP="00921EF1">
      <w:pPr>
        <w:pStyle w:val="PargrafodaLista"/>
        <w:numPr>
          <w:ilvl w:val="0"/>
          <w:numId w:val="5"/>
        </w:numPr>
        <w:jc w:val="both"/>
        <w:rPr>
          <w:b/>
          <w:color w:val="FF0000"/>
        </w:rPr>
      </w:pPr>
      <w:r w:rsidRPr="0013724C">
        <w:rPr>
          <w:b/>
          <w:color w:val="FF0000"/>
        </w:rPr>
        <w:t>Hidratação Endovenosa</w:t>
      </w:r>
    </w:p>
    <w:p w:rsidR="00921EF1" w:rsidRPr="0013724C" w:rsidRDefault="00921EF1" w:rsidP="00921EF1">
      <w:pPr>
        <w:pStyle w:val="PargrafodaLista"/>
        <w:numPr>
          <w:ilvl w:val="0"/>
          <w:numId w:val="5"/>
        </w:numPr>
        <w:jc w:val="both"/>
        <w:rPr>
          <w:b/>
          <w:color w:val="FF0000"/>
        </w:rPr>
      </w:pPr>
      <w:r w:rsidRPr="0013724C">
        <w:rPr>
          <w:b/>
          <w:color w:val="FF0000"/>
        </w:rPr>
        <w:t>Analgesia</w:t>
      </w:r>
    </w:p>
    <w:p w:rsidR="00921EF1" w:rsidRDefault="00921EF1" w:rsidP="00921EF1">
      <w:pPr>
        <w:pStyle w:val="PargrafodaLista"/>
        <w:numPr>
          <w:ilvl w:val="1"/>
          <w:numId w:val="5"/>
        </w:numPr>
        <w:jc w:val="both"/>
      </w:pPr>
      <w:proofErr w:type="spellStart"/>
      <w:r w:rsidRPr="0013724C">
        <w:rPr>
          <w:color w:val="E36C0A" w:themeColor="accent6" w:themeShade="BF"/>
        </w:rPr>
        <w:t>Dipirona</w:t>
      </w:r>
      <w:proofErr w:type="spellEnd"/>
      <w:r w:rsidR="00AA0539">
        <w:t xml:space="preserve"> 1,0 a 2,0 g </w:t>
      </w:r>
      <w:proofErr w:type="spellStart"/>
      <w:r w:rsidR="00AA0539">
        <w:t>I.V.</w:t>
      </w:r>
      <w:proofErr w:type="spellEnd"/>
      <w:r w:rsidR="00AA0539">
        <w:t xml:space="preserve"> de 6/6 horas</w:t>
      </w:r>
    </w:p>
    <w:p w:rsidR="00893FDC" w:rsidRDefault="00AA0539" w:rsidP="00893FDC">
      <w:pPr>
        <w:pStyle w:val="PargrafodaLista"/>
        <w:numPr>
          <w:ilvl w:val="1"/>
          <w:numId w:val="5"/>
        </w:numPr>
        <w:jc w:val="both"/>
      </w:pPr>
      <w:r w:rsidRPr="0013724C">
        <w:rPr>
          <w:color w:val="E36C0A" w:themeColor="accent6" w:themeShade="BF"/>
        </w:rPr>
        <w:t>AINES</w:t>
      </w:r>
      <w:r w:rsidR="00893FDC">
        <w:t xml:space="preserve">: </w:t>
      </w:r>
      <w:proofErr w:type="spellStart"/>
      <w:r w:rsidR="00893FDC">
        <w:t>Cetoprofeno</w:t>
      </w:r>
      <w:proofErr w:type="spellEnd"/>
      <w:proofErr w:type="gramStart"/>
      <w:r w:rsidR="00893FDC">
        <w:t xml:space="preserve">  </w:t>
      </w:r>
      <w:proofErr w:type="gramEnd"/>
      <w:r w:rsidR="00893FDC">
        <w:t xml:space="preserve">100 </w:t>
      </w:r>
      <w:proofErr w:type="spellStart"/>
      <w:r w:rsidR="00893FDC">
        <w:t>mg</w:t>
      </w:r>
      <w:proofErr w:type="spellEnd"/>
      <w:r w:rsidR="00893FDC">
        <w:t xml:space="preserve"> I,V, de 12/12 horas</w:t>
      </w:r>
    </w:p>
    <w:p w:rsidR="00893FDC" w:rsidRDefault="00893FDC" w:rsidP="00893FDC">
      <w:pPr>
        <w:pStyle w:val="PargrafodaLista"/>
        <w:ind w:left="2160"/>
        <w:jc w:val="both"/>
      </w:pPr>
      <w:r>
        <w:t xml:space="preserve">            </w:t>
      </w:r>
      <w:proofErr w:type="spellStart"/>
      <w:r>
        <w:t>Ibuprofeno</w:t>
      </w:r>
      <w:proofErr w:type="spellEnd"/>
      <w:proofErr w:type="gramStart"/>
      <w:r>
        <w:t xml:space="preserve">  </w:t>
      </w:r>
      <w:proofErr w:type="gramEnd"/>
      <w:r>
        <w:t xml:space="preserve">600 </w:t>
      </w:r>
      <w:proofErr w:type="spellStart"/>
      <w:r>
        <w:t>mg</w:t>
      </w:r>
      <w:proofErr w:type="spellEnd"/>
      <w:r>
        <w:t xml:space="preserve"> </w:t>
      </w:r>
      <w:proofErr w:type="spellStart"/>
      <w:r>
        <w:t>I.V.</w:t>
      </w:r>
      <w:proofErr w:type="spellEnd"/>
      <w:r>
        <w:t xml:space="preserve"> de 12/12 horas</w:t>
      </w:r>
    </w:p>
    <w:p w:rsidR="0013724C" w:rsidRDefault="0013724C" w:rsidP="00AA0539">
      <w:pPr>
        <w:jc w:val="both"/>
      </w:pPr>
    </w:p>
    <w:p w:rsidR="00AA0539" w:rsidRDefault="00AA0539" w:rsidP="00AA0539">
      <w:pPr>
        <w:jc w:val="both"/>
        <w:rPr>
          <w:b/>
          <w:bCs/>
        </w:rPr>
      </w:pPr>
      <w:r>
        <w:t xml:space="preserve">   </w:t>
      </w:r>
      <w:r w:rsidRPr="00902CEC">
        <w:t xml:space="preserve">O uso de </w:t>
      </w:r>
      <w:r w:rsidRPr="0013724C">
        <w:rPr>
          <w:b/>
          <w:bCs/>
          <w:color w:val="FF0000"/>
        </w:rPr>
        <w:t>antibióticos não é recomendado de forma rotineira</w:t>
      </w:r>
      <w:r w:rsidRPr="0013724C">
        <w:rPr>
          <w:bCs/>
        </w:rPr>
        <w:t>.</w:t>
      </w:r>
    </w:p>
    <w:p w:rsidR="00304EAF" w:rsidRDefault="00304EAF" w:rsidP="00304EAF">
      <w:pPr>
        <w:jc w:val="both"/>
        <w:rPr>
          <w:bCs/>
        </w:rPr>
      </w:pPr>
      <w:r>
        <w:rPr>
          <w:b/>
          <w:bCs/>
        </w:rPr>
        <w:t xml:space="preserve">   </w:t>
      </w:r>
      <w:r w:rsidRPr="00304EAF">
        <w:rPr>
          <w:bCs/>
        </w:rPr>
        <w:t xml:space="preserve">Quando devidamente </w:t>
      </w:r>
      <w:r w:rsidRPr="0013724C">
        <w:rPr>
          <w:b/>
          <w:bCs/>
          <w:color w:val="E36C0A" w:themeColor="accent6" w:themeShade="BF"/>
        </w:rPr>
        <w:t>indicados</w:t>
      </w:r>
      <w:r w:rsidRPr="00304EAF">
        <w:rPr>
          <w:bCs/>
        </w:rPr>
        <w:t xml:space="preserve">, os regimes de </w:t>
      </w:r>
      <w:proofErr w:type="spellStart"/>
      <w:r w:rsidRPr="00304EAF">
        <w:rPr>
          <w:bCs/>
        </w:rPr>
        <w:t>antibioticoterapia</w:t>
      </w:r>
      <w:proofErr w:type="spellEnd"/>
      <w:r w:rsidRPr="00304EAF">
        <w:rPr>
          <w:bCs/>
        </w:rPr>
        <w:t xml:space="preserve"> recomendados incluem:</w:t>
      </w:r>
    </w:p>
    <w:p w:rsidR="00304EAF" w:rsidRDefault="00304EAF" w:rsidP="00304EAF">
      <w:pPr>
        <w:jc w:val="both"/>
      </w:pPr>
      <w:r>
        <w:rPr>
          <w:bCs/>
        </w:rPr>
        <w:t xml:space="preserve">- </w:t>
      </w:r>
      <w:r w:rsidRPr="0013724C">
        <w:rPr>
          <w:bCs/>
          <w:color w:val="FF0000"/>
        </w:rPr>
        <w:t xml:space="preserve">Opção </w:t>
      </w:r>
      <w:proofErr w:type="gramStart"/>
      <w:r w:rsidRPr="0013724C">
        <w:rPr>
          <w:bCs/>
          <w:color w:val="FF0000"/>
        </w:rPr>
        <w:t>1</w:t>
      </w:r>
      <w:proofErr w:type="gramEnd"/>
      <w:r>
        <w:rPr>
          <w:bCs/>
        </w:rPr>
        <w:t xml:space="preserve">: </w:t>
      </w:r>
      <w:proofErr w:type="spellStart"/>
      <w:r w:rsidRPr="0013724C">
        <w:rPr>
          <w:rStyle w:val="nfase"/>
          <w:color w:val="E36C0A" w:themeColor="accent6" w:themeShade="BF"/>
        </w:rPr>
        <w:t>Ceftriaxona</w:t>
      </w:r>
      <w:proofErr w:type="spellEnd"/>
      <w:r>
        <w:t xml:space="preserve"> 2 g IV 1x/dia </w:t>
      </w:r>
      <w:r>
        <w:rPr>
          <w:rStyle w:val="Forte"/>
        </w:rPr>
        <w:t>+</w:t>
      </w:r>
      <w:r>
        <w:t xml:space="preserve">  </w:t>
      </w:r>
      <w:proofErr w:type="spellStart"/>
      <w:r w:rsidRPr="0013724C">
        <w:rPr>
          <w:rStyle w:val="nfase"/>
          <w:color w:val="E36C0A" w:themeColor="accent6" w:themeShade="BF"/>
        </w:rPr>
        <w:t>Metronidazol</w:t>
      </w:r>
      <w:proofErr w:type="spellEnd"/>
      <w:r>
        <w:t xml:space="preserve"> 500 </w:t>
      </w:r>
      <w:proofErr w:type="spellStart"/>
      <w:r>
        <w:t>mg</w:t>
      </w:r>
      <w:proofErr w:type="spellEnd"/>
      <w:r>
        <w:t xml:space="preserve"> IV de 8/8 horas</w:t>
      </w:r>
    </w:p>
    <w:p w:rsidR="00304EAF" w:rsidRDefault="00304EAF" w:rsidP="00304EAF">
      <w:pPr>
        <w:jc w:val="both"/>
      </w:pPr>
      <w:r>
        <w:t xml:space="preserve">- </w:t>
      </w:r>
      <w:r w:rsidRPr="0013724C">
        <w:rPr>
          <w:color w:val="FF0000"/>
        </w:rPr>
        <w:t xml:space="preserve">Opção </w:t>
      </w:r>
      <w:proofErr w:type="gramStart"/>
      <w:r w:rsidRPr="0013724C">
        <w:rPr>
          <w:color w:val="FF0000"/>
        </w:rPr>
        <w:t>2</w:t>
      </w:r>
      <w:proofErr w:type="gramEnd"/>
      <w:r>
        <w:t xml:space="preserve">: </w:t>
      </w:r>
      <w:proofErr w:type="spellStart"/>
      <w:r w:rsidRPr="0013724C">
        <w:rPr>
          <w:color w:val="E36C0A" w:themeColor="accent6" w:themeShade="BF"/>
        </w:rPr>
        <w:t>Ciprofloxacina</w:t>
      </w:r>
      <w:proofErr w:type="spellEnd"/>
      <w:r>
        <w:t xml:space="preserve">  400 </w:t>
      </w:r>
      <w:proofErr w:type="spellStart"/>
      <w:r>
        <w:t>mg</w:t>
      </w:r>
      <w:proofErr w:type="spellEnd"/>
      <w:r>
        <w:t xml:space="preserve"> IV de 12/12 horas + </w:t>
      </w:r>
      <w:proofErr w:type="spellStart"/>
      <w:r w:rsidRPr="0013724C">
        <w:rPr>
          <w:rStyle w:val="nfase"/>
          <w:color w:val="E36C0A" w:themeColor="accent6" w:themeShade="BF"/>
        </w:rPr>
        <w:t>Metronidazol</w:t>
      </w:r>
      <w:proofErr w:type="spellEnd"/>
      <w:r w:rsidRPr="0013724C">
        <w:rPr>
          <w:color w:val="E36C0A" w:themeColor="accent6" w:themeShade="BF"/>
        </w:rPr>
        <w:t xml:space="preserve"> </w:t>
      </w:r>
      <w:r>
        <w:t xml:space="preserve">500 </w:t>
      </w:r>
      <w:proofErr w:type="spellStart"/>
      <w:r>
        <w:t>mg</w:t>
      </w:r>
      <w:proofErr w:type="spellEnd"/>
      <w:r>
        <w:t xml:space="preserve"> IV de 8/8 horas</w:t>
      </w:r>
    </w:p>
    <w:p w:rsidR="00304EAF" w:rsidRPr="00BB1C4A" w:rsidRDefault="00304EAF" w:rsidP="00304EAF">
      <w:pPr>
        <w:jc w:val="both"/>
      </w:pPr>
      <w:r>
        <w:t xml:space="preserve">- </w:t>
      </w:r>
      <w:r w:rsidRPr="0013724C">
        <w:rPr>
          <w:color w:val="FF0000"/>
        </w:rPr>
        <w:t xml:space="preserve">Opção </w:t>
      </w:r>
      <w:proofErr w:type="gramStart"/>
      <w:r w:rsidRPr="0013724C">
        <w:rPr>
          <w:color w:val="FF0000"/>
        </w:rPr>
        <w:t>3</w:t>
      </w:r>
      <w:proofErr w:type="gramEnd"/>
      <w:r>
        <w:t xml:space="preserve">: </w:t>
      </w:r>
      <w:proofErr w:type="spellStart"/>
      <w:r w:rsidRPr="0013724C">
        <w:rPr>
          <w:rStyle w:val="nfase"/>
          <w:color w:val="E36C0A" w:themeColor="accent6" w:themeShade="BF"/>
        </w:rPr>
        <w:t>Piperacilina</w:t>
      </w:r>
      <w:proofErr w:type="spellEnd"/>
      <w:r w:rsidRPr="0013724C">
        <w:rPr>
          <w:rStyle w:val="nfase"/>
          <w:color w:val="E36C0A" w:themeColor="accent6" w:themeShade="BF"/>
        </w:rPr>
        <w:t>/</w:t>
      </w:r>
      <w:proofErr w:type="spellStart"/>
      <w:r w:rsidRPr="0013724C">
        <w:rPr>
          <w:rStyle w:val="nfase"/>
          <w:color w:val="E36C0A" w:themeColor="accent6" w:themeShade="BF"/>
        </w:rPr>
        <w:t>Tazobactam</w:t>
      </w:r>
      <w:proofErr w:type="spellEnd"/>
      <w:r>
        <w:rPr>
          <w:rStyle w:val="nfase"/>
        </w:rPr>
        <w:t xml:space="preserve"> </w:t>
      </w:r>
      <w:r>
        <w:t>4,5 g IV de 6/6 horas</w:t>
      </w:r>
    </w:p>
    <w:p w:rsidR="00304EAF" w:rsidRPr="00304EAF" w:rsidRDefault="00304EAF" w:rsidP="00AA0539">
      <w:pPr>
        <w:jc w:val="both"/>
      </w:pPr>
    </w:p>
    <w:p w:rsidR="002E538C" w:rsidRDefault="002E538C" w:rsidP="002E538C">
      <w:pPr>
        <w:jc w:val="both"/>
      </w:pPr>
    </w:p>
    <w:p w:rsidR="002E538C" w:rsidRDefault="002E538C" w:rsidP="002E538C">
      <w:pPr>
        <w:jc w:val="both"/>
      </w:pPr>
    </w:p>
    <w:p w:rsidR="002E538C" w:rsidRDefault="002E538C" w:rsidP="002E538C">
      <w:pPr>
        <w:jc w:val="both"/>
      </w:pPr>
    </w:p>
    <w:p w:rsidR="002E538C" w:rsidRDefault="002E538C" w:rsidP="002E538C">
      <w:pPr>
        <w:jc w:val="both"/>
      </w:pPr>
    </w:p>
    <w:p w:rsidR="002E538C" w:rsidRDefault="002E538C" w:rsidP="002E538C">
      <w:pPr>
        <w:jc w:val="both"/>
      </w:pPr>
    </w:p>
    <w:sectPr w:rsidR="002E538C" w:rsidSect="00B76C6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34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C5A53" w:rsidRDefault="008C5A53" w:rsidP="00B76C6A">
      <w:pPr>
        <w:spacing w:after="0" w:line="240" w:lineRule="auto"/>
      </w:pPr>
      <w:r>
        <w:separator/>
      </w:r>
    </w:p>
  </w:endnote>
  <w:endnote w:type="continuationSeparator" w:id="0">
    <w:p w:rsidR="008C5A53" w:rsidRDefault="008C5A53" w:rsidP="00B76C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76C6A" w:rsidRDefault="00B76C6A">
    <w:pPr>
      <w:pStyle w:val="Rodap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76C6A" w:rsidRDefault="00B76C6A">
    <w:pPr>
      <w:pStyle w:val="Rodap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 w:rsidRPr="009C2D27">
      <w:rPr>
        <w:sz w:val="18"/>
      </w:rPr>
      <w:t xml:space="preserve">© 2026 </w:t>
    </w:r>
    <w:proofErr w:type="gramStart"/>
    <w:r w:rsidRPr="009C2D27">
      <w:rPr>
        <w:sz w:val="18"/>
      </w:rPr>
      <w:t>–Programa</w:t>
    </w:r>
    <w:proofErr w:type="gramEnd"/>
    <w:r w:rsidRPr="009C2D27">
      <w:rPr>
        <w:sz w:val="18"/>
      </w:rPr>
      <w:t xml:space="preserve"> </w:t>
    </w:r>
    <w:proofErr w:type="spellStart"/>
    <w:r w:rsidRPr="009C2D27">
      <w:rPr>
        <w:sz w:val="18"/>
      </w:rPr>
      <w:t>A.G.I.R.</w:t>
    </w:r>
    <w:proofErr w:type="spellEnd"/>
    <w:r w:rsidRPr="009C2D27">
      <w:rPr>
        <w:sz w:val="18"/>
      </w:rPr>
      <w:t xml:space="preserve"> – Abdome Agudo Guiado por Investigação e Raciocínio</w:t>
    </w:r>
    <w:r>
      <w:rPr>
        <w:sz w:val="18"/>
      </w:rPr>
      <w:t xml:space="preserve"> 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Página </w:t>
    </w:r>
    <w:fldSimple w:instr=" PAGE   \* MERGEFORMAT ">
      <w:r w:rsidRPr="00B76C6A">
        <w:rPr>
          <w:rFonts w:asciiTheme="majorHAnsi" w:hAnsiTheme="majorHAnsi"/>
          <w:noProof/>
        </w:rPr>
        <w:t>1</w:t>
      </w:r>
    </w:fldSimple>
  </w:p>
  <w:p w:rsidR="00B76C6A" w:rsidRDefault="00B76C6A">
    <w:pPr>
      <w:pStyle w:val="Rodap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76C6A" w:rsidRDefault="00B76C6A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C5A53" w:rsidRDefault="008C5A53" w:rsidP="00B76C6A">
      <w:pPr>
        <w:spacing w:after="0" w:line="240" w:lineRule="auto"/>
      </w:pPr>
      <w:r>
        <w:separator/>
      </w:r>
    </w:p>
  </w:footnote>
  <w:footnote w:type="continuationSeparator" w:id="0">
    <w:p w:rsidR="008C5A53" w:rsidRDefault="008C5A53" w:rsidP="00B76C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76C6A" w:rsidRDefault="00B76C6A">
    <w:pPr>
      <w:pStyle w:val="Cabealh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68259111" o:spid="_x0000_s7170" type="#_x0000_t136" style="position:absolute;margin-left:0;margin-top:0;width:504.85pt;height:94.65pt;rotation:315;z-index:-251654144;mso-position-horizontal:center;mso-position-horizontal-relative:margin;mso-position-vertical:center;mso-position-vertical-relative:margin" o:allowincell="f" fillcolor="gray [1629]" stroked="f">
          <v:fill opacity=".5"/>
          <v:textpath style="font-family:&quot;Calibri&quot;;font-size:1pt" string="Progama A.G.I.R.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76C6A" w:rsidRDefault="00B76C6A">
    <w:pPr>
      <w:pStyle w:val="Cabealh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68259112" o:spid="_x0000_s7171" type="#_x0000_t136" style="position:absolute;margin-left:0;margin-top:0;width:504.85pt;height:94.65pt;rotation:315;z-index:-251652096;mso-position-horizontal:center;mso-position-horizontal-relative:margin;mso-position-vertical:center;mso-position-vertical-relative:margin" o:allowincell="f" fillcolor="gray [1629]" stroked="f">
          <v:fill opacity=".5"/>
          <v:textpath style="font-family:&quot;Calibri&quot;;font-size:1pt" string="Progama A.G.I.R.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76C6A" w:rsidRDefault="00B76C6A">
    <w:pPr>
      <w:pStyle w:val="Cabealh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68259110" o:spid="_x0000_s7169" type="#_x0000_t136" style="position:absolute;margin-left:0;margin-top:0;width:504.85pt;height:94.65pt;rotation:315;z-index:-251656192;mso-position-horizontal:center;mso-position-horizontal-relative:margin;mso-position-vertical:center;mso-position-vertical-relative:margin" o:allowincell="f" fillcolor="gray [1629]" stroked="f">
          <v:fill opacity=".5"/>
          <v:textpath style="font-family:&quot;Calibri&quot;;font-size:1pt" string="Progama A.G.I.R.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090377"/>
    <w:multiLevelType w:val="multilevel"/>
    <w:tmpl w:val="5BD6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D563F4"/>
    <w:multiLevelType w:val="hybridMultilevel"/>
    <w:tmpl w:val="6550210C"/>
    <w:lvl w:ilvl="0" w:tplc="AFD2A08A">
      <w:start w:val="10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B87082F"/>
    <w:multiLevelType w:val="multilevel"/>
    <w:tmpl w:val="2EAE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1035DC3"/>
    <w:multiLevelType w:val="multilevel"/>
    <w:tmpl w:val="B420B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1603687"/>
    <w:multiLevelType w:val="hybridMultilevel"/>
    <w:tmpl w:val="50F2D474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isplayBackgroundShape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8194">
      <o:colormenu v:ext="edit" fillcolor="none [1304]"/>
    </o:shapedefaults>
    <o:shapelayout v:ext="edit">
      <o:idmap v:ext="edit" data="7"/>
    </o:shapelayout>
  </w:hdrShapeDefaults>
  <w:footnotePr>
    <w:footnote w:id="-1"/>
    <w:footnote w:id="0"/>
  </w:footnotePr>
  <w:endnotePr>
    <w:endnote w:id="-1"/>
    <w:endnote w:id="0"/>
  </w:endnotePr>
  <w:compat/>
  <w:rsids>
    <w:rsidRoot w:val="002E538C"/>
    <w:rsid w:val="00013FC9"/>
    <w:rsid w:val="00060D1C"/>
    <w:rsid w:val="000D783E"/>
    <w:rsid w:val="0013724C"/>
    <w:rsid w:val="001841E0"/>
    <w:rsid w:val="001C2EF3"/>
    <w:rsid w:val="001D5021"/>
    <w:rsid w:val="0025005F"/>
    <w:rsid w:val="002E538C"/>
    <w:rsid w:val="00301EAC"/>
    <w:rsid w:val="00304EAF"/>
    <w:rsid w:val="00314F98"/>
    <w:rsid w:val="004C523E"/>
    <w:rsid w:val="00504489"/>
    <w:rsid w:val="00552662"/>
    <w:rsid w:val="005E19C8"/>
    <w:rsid w:val="00810AF5"/>
    <w:rsid w:val="00893FDC"/>
    <w:rsid w:val="008C5A53"/>
    <w:rsid w:val="008F42C3"/>
    <w:rsid w:val="00902CEC"/>
    <w:rsid w:val="00921EF1"/>
    <w:rsid w:val="00922325"/>
    <w:rsid w:val="009463FD"/>
    <w:rsid w:val="009B6366"/>
    <w:rsid w:val="009D0558"/>
    <w:rsid w:val="00AA0539"/>
    <w:rsid w:val="00AB0463"/>
    <w:rsid w:val="00AB3D98"/>
    <w:rsid w:val="00B76C6A"/>
    <w:rsid w:val="00B86F77"/>
    <w:rsid w:val="00BF1D2B"/>
    <w:rsid w:val="00DD5275"/>
    <w:rsid w:val="00E67656"/>
    <w:rsid w:val="00EA361A"/>
    <w:rsid w:val="00EF1115"/>
    <w:rsid w:val="00FC02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>
      <o:colormenu v:ext="edit" fillcolor="none [1304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F77"/>
  </w:style>
  <w:style w:type="paragraph" w:styleId="Ttulo1">
    <w:name w:val="heading 1"/>
    <w:basedOn w:val="Normal"/>
    <w:next w:val="Normal"/>
    <w:link w:val="Ttulo1Char"/>
    <w:uiPriority w:val="9"/>
    <w:qFormat/>
    <w:rsid w:val="004C523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810AF5"/>
    <w:rPr>
      <w:b/>
      <w:bCs/>
    </w:rPr>
  </w:style>
  <w:style w:type="paragraph" w:styleId="PargrafodaLista">
    <w:name w:val="List Paragraph"/>
    <w:basedOn w:val="Normal"/>
    <w:uiPriority w:val="34"/>
    <w:qFormat/>
    <w:rsid w:val="001C2EF3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301EAC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67656"/>
    <w:rPr>
      <w:rFonts w:ascii="Times New Roman" w:hAnsi="Times New Roman" w:cs="Times New Roman"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4C523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nfase">
    <w:name w:val="Emphasis"/>
    <w:basedOn w:val="Fontepargpadro"/>
    <w:uiPriority w:val="20"/>
    <w:qFormat/>
    <w:rsid w:val="00304EAF"/>
    <w:rPr>
      <w:i/>
      <w:iCs/>
    </w:rPr>
  </w:style>
  <w:style w:type="paragraph" w:styleId="Cabealho">
    <w:name w:val="header"/>
    <w:basedOn w:val="Normal"/>
    <w:link w:val="CabealhoChar"/>
    <w:uiPriority w:val="99"/>
    <w:semiHidden/>
    <w:unhideWhenUsed/>
    <w:rsid w:val="00B76C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B76C6A"/>
  </w:style>
  <w:style w:type="paragraph" w:styleId="Rodap">
    <w:name w:val="footer"/>
    <w:basedOn w:val="Normal"/>
    <w:link w:val="RodapChar"/>
    <w:uiPriority w:val="99"/>
    <w:unhideWhenUsed/>
    <w:rsid w:val="00B76C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76C6A"/>
  </w:style>
  <w:style w:type="paragraph" w:styleId="Textodebalo">
    <w:name w:val="Balloon Text"/>
    <w:basedOn w:val="Normal"/>
    <w:link w:val="TextodebaloChar"/>
    <w:uiPriority w:val="99"/>
    <w:semiHidden/>
    <w:unhideWhenUsed/>
    <w:rsid w:val="00B76C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76C6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4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5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5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2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D6686BE-DA60-46F9-B6B2-A660318184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2458</TotalTime>
  <Pages>4</Pages>
  <Words>1420</Words>
  <Characters>7670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chico</dc:creator>
  <cp:lastModifiedBy>chico</cp:lastModifiedBy>
  <cp:revision>10</cp:revision>
  <dcterms:created xsi:type="dcterms:W3CDTF">2025-12-06T18:13:00Z</dcterms:created>
  <dcterms:modified xsi:type="dcterms:W3CDTF">2026-01-26T13:55:00Z</dcterms:modified>
</cp:coreProperties>
</file>