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Cyber Threat Intelligence Report: Global Cybersecurity Incidents (2015-2024)</w:t>
      </w:r>
    </w:p>
    <w:p/>
    <w:p>
      <w:r>
        <w:rPr>
          <w:rFonts w:ascii="Times New Roman" w:hAnsi="Times New Roman"/>
          <w:sz w:val="22"/>
        </w:rPr>
        <w:t>Cyber Threat Intelligence Report: Global Cybersecurity Incidents Analysis (2015-2024)</w:t>
      </w:r>
    </w:p>
    <w:p/>
    <w:p>
      <w:r>
        <w:rPr>
          <w:rFonts w:ascii="Times New Roman" w:hAnsi="Times New Roman"/>
          <w:b/>
          <w:sz w:val="28"/>
        </w:rPr>
        <w:t>1. Executive Summary:</w:t>
      </w:r>
    </w:p>
    <w:p/>
    <w:p>
      <w:r>
        <w:rPr>
          <w:rFonts w:ascii="Times New Roman" w:hAnsi="Times New Roman"/>
          <w:sz w:val="22"/>
        </w:rPr>
        <w:t>This report analyzes global cybersecurity incidents from 2015 to 2024, based on provided log data. The data reveals a concerning trend of persistent cyberattacks targeting various industries, primarily in developed nations.  Ransomware, DDoS, and Man-in-the-Middle attacks show significant financial losses and user impact.  Attack sources include hacker groups, nation-states, and insiders, highlighting the multifaceted nature of the threat landscape. While various defense mechanisms are employed, vulnerabilities like unpatched software and weak passwords remain prevalent.  This report offers detailed threat intelligence findings, victimology, impact assessment, attack lifecycle mapping, attribution analysis, mitigation recommendations, and incident response guidance to help organizations proactively defend against these threats.</w:t>
      </w:r>
    </w:p>
    <w:p/>
    <w:p/>
    <w:p>
      <w:r>
        <w:rPr>
          <w:rFonts w:ascii="Times New Roman" w:hAnsi="Times New Roman"/>
          <w:b/>
          <w:sz w:val="28"/>
        </w:rPr>
        <w:t>2. Threat Overview:</w:t>
      </w:r>
    </w:p>
    <w:p/>
    <w:p>
      <w:r>
        <w:rPr>
          <w:rFonts w:ascii="Times New Roman" w:hAnsi="Times New Roman"/>
          <w:b/>
          <w:sz w:val="28"/>
        </w:rPr>
        <w:t>The threat landscape depicted by the data is characterized by a diverse range of attack vectors, targets, and perpetrators. Key observations include:</w:t>
      </w:r>
    </w:p>
    <w:p/>
    <w:p>
      <w:r>
        <w:rPr>
          <w:rFonts w:ascii="Times New Roman" w:hAnsi="Times New Roman"/>
          <w:sz w:val="22"/>
        </w:rPr>
        <w:t>• High-Impact Attacks: Ransomware and DDoS attacks consistently resulted in significant financial losses (ranging from millions of dollars) and substantial numbers of affected users.</w:t>
      </w:r>
    </w:p>
    <w:p>
      <w:r>
        <w:rPr>
          <w:rFonts w:ascii="Times New Roman" w:hAnsi="Times New Roman"/>
          <w:sz w:val="22"/>
        </w:rPr>
        <w:t>• Target Diversity:  Critical infrastructure sectors (Telecommunications, Banking, Healthcare, and Government) were frequently targeted alongside others (Retail, Education, and IT).</w:t>
      </w:r>
    </w:p>
    <w:p>
      <w:r>
        <w:rPr>
          <w:rFonts w:ascii="Times New Roman" w:hAnsi="Times New Roman"/>
          <w:sz w:val="22"/>
        </w:rPr>
        <w:t>• Actor Diversity:  Attacks originated from various sources including hacker groups, nation-states, and insiders, signifying the complexity of the threat landscape and necessitating a multi-layered approach to cybersecurity.</w:t>
      </w:r>
    </w:p>
    <w:p>
      <w:r>
        <w:rPr>
          <w:rFonts w:ascii="Times New Roman" w:hAnsi="Times New Roman"/>
          <w:sz w:val="22"/>
        </w:rPr>
        <w:t>• Vulnerability Persistence:  The primary vulnerabilities exploited include unpatched software and weak passwords, highlighting the importance of fundamental security hygiene.</w:t>
      </w:r>
    </w:p>
    <w:p>
      <w:r>
        <w:rPr>
          <w:rFonts w:ascii="Times New Roman" w:hAnsi="Times New Roman"/>
          <w:sz w:val="22"/>
        </w:rPr>
        <w:t>• Defense Mechanism Variability: The log data shows the utilization of various defense mechanisms, such as VPNs, firewalls, antivirus software, and AI-based detection systems, with varying degrees of effectiveness depending on the attack type and sophistication.  There is no single, universally effective defense.</w:t>
      </w:r>
    </w:p>
    <w:p/>
    <w:p>
      <w:r>
        <w:rPr>
          <w:rFonts w:ascii="Times New Roman" w:hAnsi="Times New Roman"/>
          <w:b/>
          <w:sz w:val="28"/>
        </w:rPr>
        <w:t>3. Threat Intelligence Findings:</w:t>
      </w:r>
    </w:p>
    <w:p/>
    <w:p>
      <w:r>
        <w:rPr>
          <w:rFonts w:ascii="Times New Roman" w:hAnsi="Times New Roman"/>
          <w:b/>
          <w:sz w:val="28"/>
        </w:rPr>
        <w:t>The analysis of the provided data reveals several key findings:</w:t>
      </w:r>
    </w:p>
    <w:p/>
    <w:p>
      <w:r>
        <w:rPr>
          <w:rFonts w:ascii="Times New Roman" w:hAnsi="Times New Roman"/>
          <w:sz w:val="22"/>
        </w:rPr>
        <w:t>• Geographic Distribution:  Incidents are widespread across multiple countries, indicating a global reach of cyber threats.  China, India, and the UK report relatively high numbers of incidents.</w:t>
      </w:r>
    </w:p>
    <w:p>
      <w:r>
        <w:rPr>
          <w:rFonts w:ascii="Times New Roman" w:hAnsi="Times New Roman"/>
          <w:sz w:val="22"/>
        </w:rPr>
        <w:t>• Industry Focus:  The IT, Telecommunications, and Banking sectors are prominently represented as targets, suggesting these sectors are perceived as high-value targets due to sensitive data and critical infrastructure dependence.</w:t>
      </w:r>
    </w:p>
    <w:p>
      <w:r>
        <w:rPr>
          <w:rFonts w:ascii="Times New Roman" w:hAnsi="Times New Roman"/>
          <w:sz w:val="22"/>
        </w:rPr>
        <w:t>• Attack Vector Prevalence:  Phishing, ransomware, and DDoS attacks constitute significant portions of the observed incidents.  Man-in-the-Middle attacks also represent a considerable threat, particularly impacting the IT sector.</w:t>
      </w:r>
    </w:p>
    <w:p>
      <w:r>
        <w:rPr>
          <w:rFonts w:ascii="Times New Roman" w:hAnsi="Times New Roman"/>
          <w:sz w:val="22"/>
        </w:rPr>
        <w:t>• Vulnerability Analysis: Unpatched software is a consistently exploited vulnerability across various attack types, indicating insufficient patching practices as a significant weakness. Similarly, weak passwords contribute significantly to attacks, emphasizing the need for robust password policies and multi-factor authentication.</w:t>
      </w:r>
    </w:p>
    <w:p>
      <w:r>
        <w:rPr>
          <w:rFonts w:ascii="Times New Roman" w:hAnsi="Times New Roman"/>
          <w:sz w:val="22"/>
        </w:rPr>
        <w:t>• Defense Mechanism Effectiveness:  While VPNs and firewalls offer some protection, they are not foolproof. AI-based detection systems are used but effectiveness varies.</w:t>
      </w:r>
    </w:p>
    <w:p/>
    <w:p/>
    <w:p>
      <w:r>
        <w:rPr>
          <w:rFonts w:ascii="Times New Roman" w:hAnsi="Times New Roman"/>
          <w:b/>
          <w:sz w:val="28"/>
        </w:rPr>
        <w:t>4. Data Sources &amp; Collection:</w:t>
      </w:r>
    </w:p>
    <w:p/>
    <w:p>
      <w:r>
        <w:rPr>
          <w:rFonts w:ascii="Times New Roman" w:hAnsi="Times New Roman"/>
          <w:sz w:val="22"/>
        </w:rPr>
        <w:t>The data for this report was provided in a CSV file detailing various cybersecurity incidents.  The data fields include: Country, Year, Attack Type, Target Industry, Financial Loss, Number of Affected Users, Attack Source, Security Vulnerability Type, Defense Mechanism Used, and Incident Resolution Time.  While the data provides a valuable snapshot, its scope is limited.   Further investigation using additional sources would be needed for a more comprehensive understanding.</w:t>
      </w:r>
    </w:p>
    <w:p/>
    <w:p>
      <w:r>
        <w:rPr>
          <w:rFonts w:ascii="Times New Roman" w:hAnsi="Times New Roman"/>
          <w:b/>
          <w:sz w:val="28"/>
        </w:rPr>
        <w:t>5. Victimology:</w:t>
      </w:r>
    </w:p>
    <w:p/>
    <w:p>
      <w:r>
        <w:rPr>
          <w:rFonts w:ascii="Times New Roman" w:hAnsi="Times New Roman"/>
          <w:b/>
          <w:sz w:val="28"/>
        </w:rPr>
        <w:t>Based on the data, the victim profile is diverse:</w:t>
      </w:r>
    </w:p>
    <w:p/>
    <w:p>
      <w:r>
        <w:rPr>
          <w:rFonts w:ascii="Times New Roman" w:hAnsi="Times New Roman"/>
          <w:sz w:val="22"/>
        </w:rPr>
        <w:t>• Geographic Location: Primarily developed nations in North America, Europe, and Asia.</w:t>
      </w:r>
    </w:p>
    <w:p>
      <w:r>
        <w:rPr>
          <w:rFonts w:ascii="Times New Roman" w:hAnsi="Times New Roman"/>
          <w:sz w:val="22"/>
        </w:rPr>
        <w:t>• Industry Sectors:  High-value targets including IT, Telecommunications, Banking, Government, Healthcare, Retail, and Education.</w:t>
      </w:r>
    </w:p>
    <w:p>
      <w:r>
        <w:rPr>
          <w:rFonts w:ascii="Times New Roman" w:hAnsi="Times New Roman"/>
          <w:sz w:val="22"/>
        </w:rPr>
        <w:t>• Organizational Size: The dataset doesn't directly indicate organizational size, but the high number of affected users in some cases suggests that large organizations were targeted.</w:t>
      </w:r>
    </w:p>
    <w:p>
      <w:r>
        <w:rPr>
          <w:rFonts w:ascii="Times New Roman" w:hAnsi="Times New Roman"/>
          <w:sz w:val="22"/>
        </w:rPr>
        <w:t>• Vulnerability Profile: Organizations with unpatched software, weak password policies, and insufficient security awareness training were most vulnerable.</w:t>
      </w:r>
    </w:p>
    <w:p/>
    <w:p/>
    <w:p>
      <w:r>
        <w:rPr>
          <w:rFonts w:ascii="Times New Roman" w:hAnsi="Times New Roman"/>
          <w:b/>
          <w:sz w:val="28"/>
        </w:rPr>
        <w:t>6. Impact Assessment:</w:t>
      </w:r>
    </w:p>
    <w:p/>
    <w:p>
      <w:r>
        <w:rPr>
          <w:rFonts w:ascii="Times New Roman" w:hAnsi="Times New Roman"/>
          <w:b/>
          <w:sz w:val="28"/>
        </w:rPr>
        <w:t>The impact of the described incidents is significant and multifaceted:</w:t>
      </w:r>
    </w:p>
    <w:p/>
    <w:p>
      <w:r>
        <w:rPr>
          <w:rFonts w:ascii="Times New Roman" w:hAnsi="Times New Roman"/>
          <w:sz w:val="22"/>
        </w:rPr>
        <w:t>• Financial Losses: Substantial financial losses are reported, directly impacting the financial stability and operational efficiency of affected organizations.</w:t>
      </w:r>
    </w:p>
    <w:p>
      <w:r>
        <w:rPr>
          <w:rFonts w:ascii="Times New Roman" w:hAnsi="Times New Roman"/>
          <w:sz w:val="22"/>
        </w:rPr>
        <w:t>• Reputational Damage: Data breaches and system disruptions can severely damage an organization's reputation, affecting customer trust and investor confidence.</w:t>
      </w:r>
    </w:p>
    <w:p>
      <w:r>
        <w:rPr>
          <w:rFonts w:ascii="Times New Roman" w:hAnsi="Times New Roman"/>
          <w:sz w:val="22"/>
        </w:rPr>
        <w:t>• Operational Disruption:  DDoS attacks and ransomware incidents can cripple operations, leading to service outages and productivity losses.</w:t>
      </w:r>
    </w:p>
    <w:p>
      <w:r>
        <w:rPr>
          <w:rFonts w:ascii="Times New Roman" w:hAnsi="Times New Roman"/>
          <w:sz w:val="22"/>
        </w:rPr>
        <w:t>• Data Loss and Exfiltration: The loss and exfiltration of sensitive data can result in legal penalties, regulatory fines, and long-term financial implications.</w:t>
      </w:r>
    </w:p>
    <w:p>
      <w:r>
        <w:rPr>
          <w:rFonts w:ascii="Times New Roman" w:hAnsi="Times New Roman"/>
          <w:sz w:val="22"/>
        </w:rPr>
        <w:t>• Legal and Regulatory Compliance Issues:  Non-compliance with relevant data protection regulations (e.g., GDPR, CCPA) can result in significant fines and legal repercussions.</w:t>
      </w:r>
    </w:p>
    <w:p/>
    <w:p/>
    <w:p>
      <w:r>
        <w:rPr>
          <w:rFonts w:ascii="Times New Roman" w:hAnsi="Times New Roman"/>
          <w:b/>
          <w:sz w:val="28"/>
        </w:rPr>
        <w:t>7. Attack Lifecycle (MITRE ATT&amp;CK Mapping):</w:t>
      </w:r>
    </w:p>
    <w:p/>
    <w:p>
      <w:r>
        <w:rPr>
          <w:rFonts w:ascii="Times New Roman" w:hAnsi="Times New Roman"/>
          <w:b/>
          <w:sz w:val="28"/>
        </w:rPr>
        <w:t>The attacks described in the data can be mapped to the MITRE ATT&amp;CK framework.  Examples include:</w:t>
      </w:r>
    </w:p>
    <w:p/>
    <w:p>
      <w:r>
        <w:rPr>
          <w:rFonts w:ascii="Times New Roman" w:hAnsi="Times New Roman"/>
          <w:sz w:val="22"/>
        </w:rPr>
        <w:t>• Phishing (TA0006):  Attackers use phishing emails to deliver malicious payloads, often exploiting social engineering (T1566) to increase success rates. This leads to initial access (TA0001) and then potentially credential access (TA0006).  Further actions depend on the payload.</w:t>
      </w:r>
    </w:p>
    <w:p>
      <w:r>
        <w:rPr>
          <w:rFonts w:ascii="Times New Roman" w:hAnsi="Times New Roman"/>
          <w:sz w:val="22"/>
        </w:rPr>
        <w:t>• Ransomware (TA0001, TA0043):  Once initial access is established (often via phishing), ransomware is deployed (TA0043) leading to data encryption (T1486).  Exfiltration (TA0008) and impact are high.</w:t>
      </w:r>
    </w:p>
    <w:p>
      <w:r>
        <w:rPr>
          <w:rFonts w:ascii="Times New Roman" w:hAnsi="Times New Roman"/>
          <w:sz w:val="22"/>
        </w:rPr>
        <w:t>• Man-in-the-Middle (TA0008): Attackers intercept communication channels (T1567) resulting in data exfiltration (TA0008) and potentially credential compromise (TA0006).  This often involves exploiting unpatched software or weak passwords.</w:t>
      </w:r>
    </w:p>
    <w:p>
      <w:r>
        <w:rPr>
          <w:rFonts w:ascii="Times New Roman" w:hAnsi="Times New Roman"/>
          <w:sz w:val="22"/>
        </w:rPr>
        <w:t>• DDoS (TA0008):  This involves volume-based attacks (T1490) causing denial of service (TA0008) and disruption. Exploited vulnerabilities often include unpatched software.</w:t>
      </w:r>
    </w:p>
    <w:p>
      <w:r>
        <w:rPr>
          <w:rFonts w:ascii="Times New Roman" w:hAnsi="Times New Roman"/>
          <w:sz w:val="22"/>
        </w:rPr>
        <w:t>• SQL Injection (TA0006):  Attackers exploit vulnerabilities in databases (T1566.002) potentially leading to data exfiltration (TA0008) and system compromise.  Often related to unpatched software.</w:t>
      </w:r>
    </w:p>
    <w:p>
      <w:r>
        <w:rPr>
          <w:rFonts w:ascii="Times New Roman" w:hAnsi="Times New Roman"/>
          <w:sz w:val="22"/>
        </w:rPr>
        <w:t>• Malware (TA0043):  Malware can be used to achieve a variety of objectives, from data exfiltration (TA0008) to system compromise (TA0001) and lateral movement.  Often delivered through phishing or exploiting unpatched software.</w:t>
      </w:r>
    </w:p>
    <w:p/>
    <w:p/>
    <w:p>
      <w:r>
        <w:rPr>
          <w:rFonts w:ascii="Times New Roman" w:hAnsi="Times New Roman"/>
          <w:b/>
          <w:sz w:val="28"/>
        </w:rPr>
        <w:t>8. Analysis &amp; Attribution:</w:t>
      </w:r>
    </w:p>
    <w:p/>
    <w:p>
      <w:r>
        <w:rPr>
          <w:rFonts w:ascii="Times New Roman" w:hAnsi="Times New Roman"/>
          <w:b/>
          <w:sz w:val="28"/>
        </w:rPr>
        <w:t>Attribution is challenging with the provided data alone. However, some observations can be made:</w:t>
      </w:r>
    </w:p>
    <w:p/>
    <w:p>
      <w:r>
        <w:rPr>
          <w:rFonts w:ascii="Times New Roman" w:hAnsi="Times New Roman"/>
          <w:sz w:val="22"/>
        </w:rPr>
        <w:t>• Nation-State Actors:  A significant number of attacks are attributed to nation-state actors, suggesting state-sponsored cyber espionage or attacks on critical infrastructure.  These attacks often involve zero-day exploits and sophisticated techniques.</w:t>
      </w:r>
    </w:p>
    <w:p>
      <w:r>
        <w:rPr>
          <w:rFonts w:ascii="Times New Roman" w:hAnsi="Times New Roman"/>
          <w:sz w:val="22"/>
        </w:rPr>
        <w:t>• Hacker Groups:  Several incidents involved well-known or unnamed hacker groups, highlighting the persistent threat from organized crime groups motivated by financial gain.</w:t>
      </w:r>
    </w:p>
    <w:p>
      <w:r>
        <w:rPr>
          <w:rFonts w:ascii="Times New Roman" w:hAnsi="Times New Roman"/>
          <w:sz w:val="22"/>
        </w:rPr>
        <w:t>• Insiders: The presence of insider threats underscores the need for robust access control and security awareness training programs.</w:t>
      </w:r>
    </w:p>
    <w:p>
      <w:r>
        <w:rPr>
          <w:rFonts w:ascii="Times New Roman" w:hAnsi="Times New Roman"/>
          <w:sz w:val="22"/>
        </w:rPr>
        <w:t>• Unknown Actors: The existence of incidents with unknown attackers highlights the challenges in tracking down and attributing every cyberattack.  Further investigation is needed.</w:t>
      </w:r>
    </w:p>
    <w:p/>
    <w:p/>
    <w:p>
      <w:r>
        <w:rPr>
          <w:rFonts w:ascii="Times New Roman" w:hAnsi="Times New Roman"/>
          <w:b/>
          <w:sz w:val="28"/>
        </w:rPr>
        <w:t>9. Mitigation &amp; Recommendations:</w:t>
      </w:r>
    </w:p>
    <w:p/>
    <w:p>
      <w:r>
        <w:rPr>
          <w:rFonts w:ascii="Times New Roman" w:hAnsi="Times New Roman"/>
          <w:b/>
          <w:sz w:val="28"/>
        </w:rPr>
        <w:t>Based on the analysis, the following mitigations are recommended:</w:t>
      </w:r>
    </w:p>
    <w:p/>
    <w:p>
      <w:r>
        <w:rPr>
          <w:rFonts w:ascii="Times New Roman" w:hAnsi="Times New Roman"/>
          <w:sz w:val="22"/>
        </w:rPr>
        <w:t>• Vulnerability Management: Implement a robust vulnerability management program, including regular patching of software and operating systems. Prioritize patching of critical vulnerabilities identified in the MITRE ATT&amp;CK framework.</w:t>
      </w:r>
    </w:p>
    <w:p>
      <w:r>
        <w:rPr>
          <w:rFonts w:ascii="Times New Roman" w:hAnsi="Times New Roman"/>
          <w:sz w:val="22"/>
        </w:rPr>
        <w:t>• Strong Password Policies &amp; MFA: Enforce strong password policies and implement multi-factor authentication (MFA) across all systems and accounts.</w:t>
      </w:r>
    </w:p>
    <w:p>
      <w:r>
        <w:rPr>
          <w:rFonts w:ascii="Times New Roman" w:hAnsi="Times New Roman"/>
          <w:sz w:val="22"/>
        </w:rPr>
        <w:t>• Security Awareness Training: Conduct regular security awareness training for all employees to mitigate phishing and social engineering attacks.</w:t>
      </w:r>
    </w:p>
    <w:p>
      <w:r>
        <w:rPr>
          <w:rFonts w:ascii="Times New Roman" w:hAnsi="Times New Roman"/>
          <w:sz w:val="22"/>
        </w:rPr>
        <w:t>• Network Security: Implement firewalls, intrusion detection/prevention systems (IDS/IPS), and other network security controls to enhance perimeter security.</w:t>
      </w:r>
    </w:p>
    <w:p>
      <w:r>
        <w:rPr>
          <w:rFonts w:ascii="Times New Roman" w:hAnsi="Times New Roman"/>
          <w:sz w:val="22"/>
        </w:rPr>
        <w:t>• Data Loss Prevention (DLP): Implement DLP measures to prevent sensitive data from being exfiltrated.</w:t>
      </w:r>
    </w:p>
    <w:p>
      <w:r>
        <w:rPr>
          <w:rFonts w:ascii="Times New Roman" w:hAnsi="Times New Roman"/>
          <w:sz w:val="22"/>
        </w:rPr>
        <w:t>• Incident Response Plan:  Develop and regularly test an incident response plan to effectively handle cybersecurity incidents.</w:t>
      </w:r>
    </w:p>
    <w:p>
      <w:r>
        <w:rPr>
          <w:rFonts w:ascii="Times New Roman" w:hAnsi="Times New Roman"/>
          <w:sz w:val="22"/>
        </w:rPr>
        <w:t>• Regular Security Audits &amp; Penetration Testing: Conduct regular security audits and penetration testing to identify vulnerabilities and weaknesses in the security posture.</w:t>
      </w:r>
    </w:p>
    <w:p>
      <w:r>
        <w:rPr>
          <w:rFonts w:ascii="Times New Roman" w:hAnsi="Times New Roman"/>
          <w:sz w:val="22"/>
        </w:rPr>
        <w:t>• Threat Intelligence Sharing: Participate in threat intelligence sharing platforms to receive timely information on emerging threats and vulnerabilities.</w:t>
      </w:r>
    </w:p>
    <w:p>
      <w:r>
        <w:rPr>
          <w:rFonts w:ascii="Times New Roman" w:hAnsi="Times New Roman"/>
          <w:sz w:val="22"/>
        </w:rPr>
        <w:t>• AI-Based Security Tools: Evaluate and implement appropriate AI-based security tools to enhance detection and response capabilities, but recognize limitations.</w:t>
      </w:r>
    </w:p>
    <w:p/>
    <w:p/>
    <w:p>
      <w:r>
        <w:rPr>
          <w:rFonts w:ascii="Times New Roman" w:hAnsi="Times New Roman"/>
          <w:b/>
          <w:sz w:val="28"/>
        </w:rPr>
        <w:t>10. Incident Response Guidance:</w:t>
      </w:r>
    </w:p>
    <w:p/>
    <w:p>
      <w:r>
        <w:rPr>
          <w:rFonts w:ascii="Times New Roman" w:hAnsi="Times New Roman"/>
          <w:b/>
          <w:sz w:val="28"/>
        </w:rPr>
        <w:t>In the event of a cybersecurity incident, follow these steps:</w:t>
      </w:r>
    </w:p>
    <w:p/>
    <w:p>
      <w:r>
        <w:rPr>
          <w:rFonts w:ascii="Times New Roman" w:hAnsi="Times New Roman"/>
          <w:sz w:val="22"/>
        </w:rPr>
        <w:t>• Containment: Isolate affected systems and prevent the spread of malware.</w:t>
      </w:r>
    </w:p>
    <w:p>
      <w:r>
        <w:rPr>
          <w:rFonts w:ascii="Times New Roman" w:hAnsi="Times New Roman"/>
          <w:sz w:val="22"/>
        </w:rPr>
        <w:t>• Eradication: Remove malware and restore affected systems to a clean state.</w:t>
      </w:r>
    </w:p>
    <w:p>
      <w:r>
        <w:rPr>
          <w:rFonts w:ascii="Times New Roman" w:hAnsi="Times New Roman"/>
          <w:sz w:val="22"/>
        </w:rPr>
        <w:t>• Recovery: Restore data from backups and resume normal operations.</w:t>
      </w:r>
    </w:p>
    <w:p>
      <w:r>
        <w:rPr>
          <w:rFonts w:ascii="Times New Roman" w:hAnsi="Times New Roman"/>
          <w:sz w:val="22"/>
        </w:rPr>
        <w:t>• Post-Incident Activity: Analyze the incident to determine root cause, implement necessary remediation, and update security controls.  Consider engaging forensic experts.  Document all actions taken.</w:t>
      </w:r>
    </w:p>
    <w:p/>
    <w:p/>
    <w:p>
      <w:r>
        <w:rPr>
          <w:rFonts w:ascii="Times New Roman" w:hAnsi="Times New Roman"/>
          <w:b/>
          <w:sz w:val="28"/>
        </w:rPr>
        <w:t>11. Appendices &amp; References:</w:t>
      </w:r>
    </w:p>
    <w:p/>
    <w:p>
      <w:r>
        <w:rPr>
          <w:rFonts w:ascii="Times New Roman" w:hAnsi="Times New Roman"/>
          <w:sz w:val="22"/>
        </w:rPr>
        <w:t>• Appendix A: Detailed statistical analysis of the data (e.g., charts showing financial losses by attack type, attack source, and target industry).</w:t>
      </w:r>
    </w:p>
    <w:p>
      <w:r>
        <w:rPr>
          <w:rFonts w:ascii="Times New Roman" w:hAnsi="Times New Roman"/>
          <w:sz w:val="22"/>
        </w:rPr>
        <w:t>• Appendix B:  List of specific vulnerabilities exploited, with links to relevant security advisories.</w:t>
      </w:r>
    </w:p>
    <w:p>
      <w:r>
        <w:rPr>
          <w:rFonts w:ascii="Times New Roman" w:hAnsi="Times New Roman"/>
          <w:sz w:val="22"/>
        </w:rPr>
        <w:t>• Appendix C:  List of MITRE ATT&amp;CK techniques observed in the analyzed incidents.</w:t>
      </w:r>
    </w:p>
    <w:p>
      <w:r>
        <w:rPr>
          <w:rFonts w:ascii="Times New Roman" w:hAnsi="Times New Roman"/>
          <w:sz w:val="22"/>
        </w:rPr>
        <w:t>• References:  Links to relevant cybersecurity resources, including MITRE ATT&amp;CK framework, NIST Cybersecurity Framework, and relevant security advisories.</w:t>
      </w:r>
    </w:p>
    <w:p/>
    <w:p/>
    <w:p>
      <w:r>
        <w:rPr>
          <w:rFonts w:ascii="Times New Roman" w:hAnsi="Times New Roman"/>
          <w:sz w:val="22"/>
        </w:rPr>
        <w:t>(Note: Appendices A, B, and C would contain detailed charts, tables, and references, respectively, which cannot be generated here due to markdown limitations.  A complete report would include these sections with appropriate visualizations and cited sources.)</w:t>
      </w:r>
    </w:p>
    <w:p/>
    <w:p/>
    <w:p>
      <w:r>
        <w:rPr>
          <w:rFonts w:ascii="Times New Roman" w:hAnsi="Times New Roman"/>
          <w:sz w:val="22"/>
        </w:rPr>
        <w:t>This report provides a preliminary assessment based on the limited data.  Further investigation and correlation with other intelligence sources are crucial for a more comprehensive understanding of the threats, and to tailor specific recommendations for specific organizations and industries.</w:t>
      </w:r>
    </w:p>
    <w:p/>
    <w:sectPr w:rsidR="00FC693F" w:rsidRPr="0006063C" w:rsidSect="00034616">
      <w:pgSz w:w="12240" w:h="15840"/>
      <w:pgMar w:top="720" w:right="960" w:bottom="720" w:left="9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