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32"/>
        </w:rPr>
        <w:t>Cyber Threat Intelligence Report: Global Cybersecurity Incidents (2015-2024)</w:t>
      </w:r>
    </w:p>
    <w:p/>
    <w:p>
      <w:r>
        <w:rPr>
          <w:rFonts w:ascii="Times New Roman" w:hAnsi="Times New Roman"/>
          <w:sz w:val="22"/>
        </w:rPr>
        <w:t>Cyber Threat Intelligence Report: Global Cybersecurity Incidents (2015-2024)</w:t>
      </w:r>
    </w:p>
    <w:p/>
    <w:p>
      <w:r>
        <w:rPr>
          <w:rFonts w:ascii="Times New Roman" w:hAnsi="Times New Roman"/>
          <w:b/>
          <w:sz w:val="28"/>
        </w:rPr>
        <w:t>1. Executive Summary:</w:t>
      </w:r>
    </w:p>
    <w:p/>
    <w:p>
      <w:r>
        <w:rPr>
          <w:rFonts w:ascii="Times New Roman" w:hAnsi="Times New Roman"/>
          <w:sz w:val="22"/>
        </w:rPr>
        <w:t>This report analyzes cybersecurity incidents from 2015 to 2024, based on provided log data. The analysis reveals a diverse threat landscape with significant financial and reputational impacts across various industries.  Ransomware and DDoS attacks show a persistent threat, while phishing remains a prevalent entry vector.  Attack sources include nation-states, hacker groups, and insiders, highlighting the multifaceted nature of modern cyber threats.  The report provides actionable mitigation and incident response recommendations to minimize future risks.</w:t>
      </w:r>
    </w:p>
    <w:p/>
    <w:p>
      <w:r>
        <w:rPr>
          <w:rFonts w:ascii="Times New Roman" w:hAnsi="Times New Roman"/>
          <w:b/>
          <w:sz w:val="28"/>
        </w:rPr>
        <w:t>2. Threat Overview:</w:t>
      </w:r>
    </w:p>
    <w:p/>
    <w:p>
      <w:r>
        <w:rPr>
          <w:rFonts w:ascii="Times New Roman" w:hAnsi="Times New Roman"/>
          <w:sz w:val="22"/>
        </w:rPr>
        <w:t>The log data encompasses a range of attack types targeting multiple sectors, including Education, Retail, IT, Telecommunications, Government, and Banking.  Financial losses are substantial, ranging from minimal impacts to over $99 million in a single incident. The number of affected users per incident also varies widely.  Attack vectors include phishing, social engineering, and exploitation of unpatched software and weak passwords.  Threat actors include nation-states, organized hacker groups, and insiders, indicating a complex and evolving threat landscape.</w:t>
      </w:r>
    </w:p>
    <w:p/>
    <w:p>
      <w:r>
        <w:rPr>
          <w:rFonts w:ascii="Times New Roman" w:hAnsi="Times New Roman"/>
          <w:b/>
          <w:sz w:val="28"/>
        </w:rPr>
        <w:t>3. Threat Intelligence Findings:</w:t>
      </w:r>
    </w:p>
    <w:p/>
    <w:p>
      <w:r>
        <w:rPr>
          <w:rFonts w:ascii="Times New Roman" w:hAnsi="Times New Roman"/>
          <w:sz w:val="22"/>
        </w:rPr>
        <w:t>• Ransomware: A significant threat, particularly in the Retail and Education sectors, causing considerable financial losses.  Unpatched software and weak passwords are frequently cited vulnerabilities.</w:t>
      </w:r>
    </w:p>
    <w:p>
      <w:r>
        <w:rPr>
          <w:rFonts w:ascii="Times New Roman" w:hAnsi="Times New Roman"/>
          <w:sz w:val="22"/>
        </w:rPr>
        <w:t>• DDoS: Frequent occurrences across multiple industries, indicating a sustained threat vector.  Unpatched software and social engineering are leading causes.</w:t>
      </w:r>
    </w:p>
    <w:p>
      <w:r>
        <w:rPr>
          <w:rFonts w:ascii="Times New Roman" w:hAnsi="Times New Roman"/>
          <w:sz w:val="22"/>
        </w:rPr>
        <w:t>• Phishing:  A primary attack vector, used extensively across all target industries.  Exploitation of unpatched software, weak passwords, and zero-day vulnerabilities are common.</w:t>
      </w:r>
    </w:p>
    <w:p>
      <w:r>
        <w:rPr>
          <w:rFonts w:ascii="Times New Roman" w:hAnsi="Times New Roman"/>
          <w:sz w:val="22"/>
        </w:rPr>
        <w:t>• Man-in-the-Middle (MitM): A consistent threat, predominantly affecting the IT sector.  Social engineering, weak passwords, and unpatched software contribute significantly.</w:t>
      </w:r>
    </w:p>
    <w:p>
      <w:r>
        <w:rPr>
          <w:rFonts w:ascii="Times New Roman" w:hAnsi="Times New Roman"/>
          <w:sz w:val="22"/>
        </w:rPr>
        <w:t>• SQL Injection:  Frequently observed in the Government and Healthcare sectors, indicating vulnerabilities in database security.  Social engineering and unpatched software are prominent factors.</w:t>
      </w:r>
    </w:p>
    <w:p>
      <w:r>
        <w:rPr>
          <w:rFonts w:ascii="Times New Roman" w:hAnsi="Times New Roman"/>
          <w:sz w:val="22"/>
        </w:rPr>
        <w:t>• Malware: Attacks widespread, affecting diverse sectors, highlighting the need for robust endpoint protection.  Social engineering and unpatched software are frequently exploited.</w:t>
      </w:r>
    </w:p>
    <w:p>
      <w:r>
        <w:rPr>
          <w:rFonts w:ascii="Times New Roman" w:hAnsi="Times New Roman"/>
          <w:sz w:val="22"/>
        </w:rPr>
        <w:t>• Threat Actors: Nation-states are involved in various attacks, showcasing state-sponsored cyber warfare capabilities. Hacker groups represent a persistent and adaptable threat.  Insiders pose a significant risk across all sectors.</w:t>
      </w:r>
    </w:p>
    <w:p/>
    <w:p/>
    <w:p>
      <w:r>
        <w:rPr>
          <w:rFonts w:ascii="Times New Roman" w:hAnsi="Times New Roman"/>
          <w:b/>
          <w:sz w:val="28"/>
        </w:rPr>
        <w:t>4. Data Sources &amp; Collection:</w:t>
      </w:r>
    </w:p>
    <w:p/>
    <w:p>
      <w:r>
        <w:rPr>
          <w:rFonts w:ascii="Times New Roman" w:hAnsi="Times New Roman"/>
          <w:sz w:val="22"/>
        </w:rPr>
        <w:t>The data for this report was sourced from a provided log file containing information on cybersecurity incidents. The data includes attack type, target industry, financial loss, affected users, attack source, vulnerability exploited, defense mechanism employed, and incident resolution time. The data's accuracy and completeness are assumed for this analysis.  Further investigation into individual incidents may be required to validate the data.</w:t>
      </w:r>
    </w:p>
    <w:p/>
    <w:p>
      <w:r>
        <w:rPr>
          <w:rFonts w:ascii="Times New Roman" w:hAnsi="Times New Roman"/>
          <w:b/>
          <w:sz w:val="28"/>
        </w:rPr>
        <w:t>5. Victimology:</w:t>
      </w:r>
    </w:p>
    <w:p/>
    <w:p>
      <w:r>
        <w:rPr>
          <w:rFonts w:ascii="Times New Roman" w:hAnsi="Times New Roman"/>
          <w:sz w:val="22"/>
        </w:rPr>
        <w:t>The victimology encompasses a broad spectrum of industries, with the IT, Retail, Education, and Healthcare sectors seemingly most impacted. The geographical distribution of attacks spans several countries, highlighting the global reach of cyber threats.  There is no discernible pattern suggesting a specific type of organization is more vulnerable. However, the consistent use of similar attack vectors and vulnerabilities across various sectors points towards weaknesses in general cybersecurity practices.</w:t>
      </w:r>
    </w:p>
    <w:p/>
    <w:p>
      <w:r>
        <w:rPr>
          <w:rFonts w:ascii="Times New Roman" w:hAnsi="Times New Roman"/>
          <w:b/>
          <w:sz w:val="28"/>
        </w:rPr>
        <w:t>6. Impact Assessment:</w:t>
      </w:r>
    </w:p>
    <w:p/>
    <w:p>
      <w:r>
        <w:rPr>
          <w:rFonts w:ascii="Times New Roman" w:hAnsi="Times New Roman"/>
          <w:b/>
          <w:sz w:val="28"/>
        </w:rPr>
        <w:t>The impact of these incidents is multi-faceted:</w:t>
      </w:r>
    </w:p>
    <w:p/>
    <w:p>
      <w:r>
        <w:rPr>
          <w:rFonts w:ascii="Times New Roman" w:hAnsi="Times New Roman"/>
          <w:sz w:val="22"/>
        </w:rPr>
        <w:t>• Financial Loss: Substantial financial losses are reported across all incidents, emphasizing the significant cost of cyberattacks.</w:t>
      </w:r>
    </w:p>
    <w:p>
      <w:r>
        <w:rPr>
          <w:rFonts w:ascii="Times New Roman" w:hAnsi="Times New Roman"/>
          <w:sz w:val="22"/>
        </w:rPr>
        <w:t>• Reputational Damage:  Data breaches and service disruptions can severely damage an organization's reputation and customer trust.</w:t>
      </w:r>
    </w:p>
    <w:p>
      <w:r>
        <w:rPr>
          <w:rFonts w:ascii="Times New Roman" w:hAnsi="Times New Roman"/>
          <w:sz w:val="22"/>
        </w:rPr>
        <w:t>• Operational Disruption:  DDoS attacks and ransomware incidents cause significant operational disruptions, impacting productivity and service delivery.</w:t>
      </w:r>
    </w:p>
    <w:p>
      <w:r>
        <w:rPr>
          <w:rFonts w:ascii="Times New Roman" w:hAnsi="Times New Roman"/>
          <w:sz w:val="22"/>
        </w:rPr>
        <w:t>• Data Breach:  The large number of affected users in many incidents indicates extensive data breaches, potentially leading to legal liabilities and regulatory penalties (e.g., GDPR).</w:t>
      </w:r>
    </w:p>
    <w:p/>
    <w:p/>
    <w:p>
      <w:r>
        <w:rPr>
          <w:rFonts w:ascii="Times New Roman" w:hAnsi="Times New Roman"/>
          <w:b/>
          <w:sz w:val="28"/>
        </w:rPr>
        <w:t>7. Attack Lifecycle (MITRE ATT&amp;CK Mapping):</w:t>
      </w:r>
    </w:p>
    <w:p/>
    <w:p>
      <w:r>
        <w:rPr>
          <w:rFonts w:ascii="Times New Roman" w:hAnsi="Times New Roman"/>
          <w:b/>
          <w:sz w:val="28"/>
        </w:rPr>
        <w:t>The observed attacks can be mapped to the MITRE ATT&amp;CK framework across several phases:</w:t>
      </w:r>
    </w:p>
    <w:p/>
    <w:p>
      <w:r>
        <w:rPr>
          <w:rFonts w:ascii="Times New Roman" w:hAnsi="Times New Roman"/>
          <w:sz w:val="22"/>
        </w:rPr>
        <w:t>• Initial Access: Phishing (TA0006), Social Engineering (TA0007), Exploitation for Initial Access (TA0002) via unpatched software or weak passwords.</w:t>
      </w:r>
    </w:p>
    <w:p>
      <w:r>
        <w:rPr>
          <w:rFonts w:ascii="Times New Roman" w:hAnsi="Times New Roman"/>
          <w:sz w:val="22"/>
        </w:rPr>
        <w:t>• Execution:  Malware (TA0043), Ransomware (TA0040), Command and Control (TA0004).</w:t>
      </w:r>
    </w:p>
    <w:p>
      <w:r>
        <w:rPr>
          <w:rFonts w:ascii="Times New Roman" w:hAnsi="Times New Roman"/>
          <w:sz w:val="22"/>
        </w:rPr>
        <w:t>• Persistence:  Often not explicitly detailed, but implied by the persistence of attacks like Ransomware and MitM.</w:t>
      </w:r>
    </w:p>
    <w:p>
      <w:r>
        <w:rPr>
          <w:rFonts w:ascii="Times New Roman" w:hAnsi="Times New Roman"/>
          <w:sz w:val="22"/>
        </w:rPr>
        <w:t>• Privilege Escalation:  Insider attacks, potentially involving elevated privileges.</w:t>
      </w:r>
    </w:p>
    <w:p>
      <w:r>
        <w:rPr>
          <w:rFonts w:ascii="Times New Roman" w:hAnsi="Times New Roman"/>
          <w:sz w:val="22"/>
        </w:rPr>
        <w:t>• Defense Evasion:  Use of VPNs and other techniques to obfuscate origins of attacks.</w:t>
      </w:r>
    </w:p>
    <w:p>
      <w:r>
        <w:rPr>
          <w:rFonts w:ascii="Times New Roman" w:hAnsi="Times New Roman"/>
          <w:sz w:val="22"/>
        </w:rPr>
        <w:t>• Credential Access: Weak passwords (TA0006).</w:t>
      </w:r>
    </w:p>
    <w:p>
      <w:r>
        <w:rPr>
          <w:rFonts w:ascii="Times New Roman" w:hAnsi="Times New Roman"/>
          <w:sz w:val="22"/>
        </w:rPr>
        <w:t>• Discovery:  Information gathering for targeted attacks.</w:t>
      </w:r>
    </w:p>
    <w:p>
      <w:r>
        <w:rPr>
          <w:rFonts w:ascii="Times New Roman" w:hAnsi="Times New Roman"/>
          <w:sz w:val="22"/>
        </w:rPr>
        <w:t>• Lateral Movement: MitM attacks often involve lateral movement.</w:t>
      </w:r>
    </w:p>
    <w:p>
      <w:r>
        <w:rPr>
          <w:rFonts w:ascii="Times New Roman" w:hAnsi="Times New Roman"/>
          <w:sz w:val="22"/>
        </w:rPr>
        <w:t>• Exfiltration: Data exfiltration in breaches (TA0008).</w:t>
      </w:r>
    </w:p>
    <w:p>
      <w:r>
        <w:rPr>
          <w:rFonts w:ascii="Times New Roman" w:hAnsi="Times New Roman"/>
          <w:sz w:val="22"/>
        </w:rPr>
        <w:t>• Impact:  Data destruction, data breach, service disruption, monetary loss (TA0040).</w:t>
      </w:r>
    </w:p>
    <w:p/>
    <w:p/>
    <w:p>
      <w:r>
        <w:rPr>
          <w:rFonts w:ascii="Times New Roman" w:hAnsi="Times New Roman"/>
          <w:b/>
          <w:sz w:val="28"/>
        </w:rPr>
        <w:t>8. Analysis &amp; Attribution:</w:t>
      </w:r>
    </w:p>
    <w:p/>
    <w:p>
      <w:r>
        <w:rPr>
          <w:rFonts w:ascii="Times New Roman" w:hAnsi="Times New Roman"/>
          <w:sz w:val="22"/>
        </w:rPr>
        <w:t>Attribution is challenging based solely on the provided data.  However, the involvement of nation-states, hacker groups, and insiders is clearly established. Further investigation is needed to attribute specific incidents to particular actors or groups.  The use of specific techniques (zero-day exploits, etc.) might offer additional avenues for attribution.</w:t>
      </w:r>
    </w:p>
    <w:p/>
    <w:p>
      <w:r>
        <w:rPr>
          <w:rFonts w:ascii="Times New Roman" w:hAnsi="Times New Roman"/>
          <w:b/>
          <w:sz w:val="28"/>
        </w:rPr>
        <w:t>9. Mitigation &amp; Recommendations:</w:t>
      </w:r>
    </w:p>
    <w:p/>
    <w:p>
      <w:r>
        <w:rPr>
          <w:rFonts w:ascii="Times New Roman" w:hAnsi="Times New Roman"/>
          <w:sz w:val="22"/>
        </w:rPr>
        <w:t>• Patch Management: Implement robust patch management processes to address software vulnerabilities promptly.</w:t>
      </w:r>
    </w:p>
    <w:p>
      <w:r>
        <w:rPr>
          <w:rFonts w:ascii="Times New Roman" w:hAnsi="Times New Roman"/>
          <w:sz w:val="22"/>
        </w:rPr>
        <w:t>• Strong Password Policies: Enforce strong password policies and multi-factor authentication (MFA) to prevent unauthorized access.</w:t>
      </w:r>
    </w:p>
    <w:p>
      <w:r>
        <w:rPr>
          <w:rFonts w:ascii="Times New Roman" w:hAnsi="Times New Roman"/>
          <w:sz w:val="22"/>
        </w:rPr>
        <w:t>• Security Awareness Training:  Conduct regular security awareness training for employees to mitigate phishing and social engineering attacks.</w:t>
      </w:r>
    </w:p>
    <w:p>
      <w:r>
        <w:rPr>
          <w:rFonts w:ascii="Times New Roman" w:hAnsi="Times New Roman"/>
          <w:sz w:val="22"/>
        </w:rPr>
        <w:t>• Network Security: Implement robust firewalls, intrusion detection/prevention systems (IDS/IPS), and DDoS mitigation strategies.</w:t>
      </w:r>
    </w:p>
    <w:p>
      <w:r>
        <w:rPr>
          <w:rFonts w:ascii="Times New Roman" w:hAnsi="Times New Roman"/>
          <w:sz w:val="22"/>
        </w:rPr>
        <w:t>• Data Loss Prevention (DLP):  Implement DLP solutions to prevent data exfiltration and protect sensitive information.</w:t>
      </w:r>
    </w:p>
    <w:p>
      <w:r>
        <w:rPr>
          <w:rFonts w:ascii="Times New Roman" w:hAnsi="Times New Roman"/>
          <w:sz w:val="22"/>
        </w:rPr>
        <w:t>• Endpoint Protection: Deploy comprehensive endpoint detection and response (EDR) solutions to identify and respond to malware and ransomware.</w:t>
      </w:r>
    </w:p>
    <w:p>
      <w:r>
        <w:rPr>
          <w:rFonts w:ascii="Times New Roman" w:hAnsi="Times New Roman"/>
          <w:sz w:val="22"/>
        </w:rPr>
        <w:t>• Regular Security Assessments: Conduct regular security assessments and penetration testing to identify vulnerabilities and improve defenses.</w:t>
      </w:r>
    </w:p>
    <w:p>
      <w:r>
        <w:rPr>
          <w:rFonts w:ascii="Times New Roman" w:hAnsi="Times New Roman"/>
          <w:sz w:val="22"/>
        </w:rPr>
        <w:t>• Incident Response Plan:  Develop and regularly test a comprehensive incident response plan to minimize the impact of security incidents.</w:t>
      </w:r>
    </w:p>
    <w:p/>
    <w:p/>
    <w:p>
      <w:r>
        <w:rPr>
          <w:rFonts w:ascii="Times New Roman" w:hAnsi="Times New Roman"/>
          <w:b/>
          <w:sz w:val="28"/>
        </w:rPr>
        <w:t>10. Incident Response Guidance:</w:t>
      </w:r>
    </w:p>
    <w:p/>
    <w:p>
      <w:r>
        <w:rPr>
          <w:rFonts w:ascii="Times New Roman" w:hAnsi="Times New Roman"/>
          <w:b/>
          <w:sz w:val="28"/>
        </w:rPr>
        <w:t>In the event of a security incident, follow these steps:</w:t>
      </w:r>
    </w:p>
    <w:p/>
    <w:p>
      <w:r>
        <w:rPr>
          <w:rFonts w:ascii="Times New Roman" w:hAnsi="Times New Roman"/>
          <w:sz w:val="22"/>
        </w:rPr>
        <w:t>1. Containment: Isolate affected systems to prevent further damage.</w:t>
      </w:r>
    </w:p>
    <w:p>
      <w:r>
        <w:rPr>
          <w:rFonts w:ascii="Times New Roman" w:hAnsi="Times New Roman"/>
          <w:sz w:val="22"/>
        </w:rPr>
        <w:t>2. Eradication: Remove malware or ransomware from affected systems.</w:t>
      </w:r>
    </w:p>
    <w:p>
      <w:r>
        <w:rPr>
          <w:rFonts w:ascii="Times New Roman" w:hAnsi="Times New Roman"/>
          <w:sz w:val="22"/>
        </w:rPr>
        <w:t>3. Recovery: Restore data from backups or other sources.</w:t>
      </w:r>
    </w:p>
    <w:p>
      <w:r>
        <w:rPr>
          <w:rFonts w:ascii="Times New Roman" w:hAnsi="Times New Roman"/>
          <w:sz w:val="22"/>
        </w:rPr>
        <w:t>4. Lessons Learned: Document the incident and conduct a post-incident analysis to improve future security practices.</w:t>
      </w:r>
    </w:p>
    <w:p/>
    <w:p>
      <w:r>
        <w:rPr>
          <w:rFonts w:ascii="Times New Roman" w:hAnsi="Times New Roman"/>
          <w:b/>
          <w:sz w:val="28"/>
        </w:rPr>
        <w:t>11. Appendices &amp; References:</w:t>
      </w:r>
    </w:p>
    <w:p/>
    <w:p>
      <w:r>
        <w:rPr>
          <w:rFonts w:ascii="Times New Roman" w:hAnsi="Times New Roman"/>
          <w:sz w:val="22"/>
        </w:rPr>
        <w:t>• Appendix A: Raw Log Data (provided in the prompt)</w:t>
      </w:r>
    </w:p>
    <w:p>
      <w:r>
        <w:rPr>
          <w:rFonts w:ascii="Times New Roman" w:hAnsi="Times New Roman"/>
          <w:sz w:val="22"/>
        </w:rPr>
        <w:t>• Appendix B: MITRE ATT&amp;CK Tactics and Techniques (link to MITRE ATT&amp;CK website)</w:t>
      </w:r>
    </w:p>
    <w:p/>
    <w:p/>
    <w:p>
      <w:r>
        <w:rPr>
          <w:rFonts w:ascii="Times New Roman" w:hAnsi="Times New Roman"/>
          <w:sz w:val="22"/>
        </w:rPr>
        <w:t>Disclaimer: This report is based on the limited data provided.  A comprehensive cybersecurity assessment requires a more thorough investigation, including network analysis, malware analysis, and potentially forensic investigation of affected systems.  This report's recommendations are suggestions and should be tailored to the specific needs of each organization.</w:t>
      </w:r>
    </w:p>
    <w:p/>
    <w:sectPr w:rsidR="00FC693F" w:rsidRPr="0006063C" w:rsidSect="00034616">
      <w:pgSz w:w="12240" w:h="15840"/>
      <w:pgMar w:top="720" w:right="960" w:bottom="720" w:left="9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