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Materials and Methods</w:t>
      </w:r>
    </w:p>
    <w:p>
      <w:pPr>
        <w:jc w:val="center"/>
      </w:pPr>
      <w:r>
        <w:rPr>
          <w:i/>
        </w:rPr>
        <w:t>Step 87 - Complete manuscript Methods based on the frozen 100-step workflow</w:t>
      </w:r>
    </w:p>
    <w:p>
      <w:pPr>
        <w:pStyle w:val="Heading1"/>
      </w:pPr>
      <w:r>
        <w:t>Dataset preparation and activity-label definition</w:t>
      </w:r>
    </w:p>
    <w:p>
      <w:r>
        <w:t>A sequence-based machine-learning framework was developed to distinguish anticancer-active peptides from inactive peptides. The curated dataset contained 901 peptide sequences, comprising 99 Active and 802 Inactive peptides. Quality-control procedures confirmed the absence of missing sequences, duplicate peptide sequences, non-canonical residues, and missing or non-finite machine-learning features. Original peptide identifiers and sequences were retained throughout the workflow to ensure traceability.</w:t>
      </w:r>
    </w:p>
    <w:p>
      <w:r>
        <w:t>The dataset was divided once using stratified sampling with random seed 2026 into a development set of 720 peptides (79 Active and 641 Inactive) and a locked test set of 181 peptides (20 Active and 161 Inactive). Five fixed stratified cross-validation folds were generated within the development set. Each fold contained 576 training and 144 validation peptides. The locked test set was excluded from all model selection, preprocessing fitting, feature-space fitting, and hyperparameter optimization.</w:t>
      </w:r>
    </w:p>
    <w:p>
      <w:pPr>
        <w:pStyle w:val="Equation"/>
        <w:jc w:val="center"/>
      </w:pPr>
      <w:r>
        <w:rPr>
          <w:rFonts w:ascii="Cambria Math" w:hAnsi="Cambria Math"/>
          <w:sz w:val="21"/>
        </w:rPr>
        <w:t>Prevalence = N_active / N_total     (1)</w:t>
      </w:r>
    </w:p>
    <w:p>
      <w:r>
        <w:t>Class prevalence was calculated as the proportion of Active peptides in the corresponding analysis population.</w:t>
      </w:r>
    </w:p>
    <w:p>
      <w:pPr>
        <w:pStyle w:val="Heading1"/>
      </w:pPr>
      <w:r>
        <w:t>Traditional physicochemical feature representation</w:t>
      </w:r>
    </w:p>
    <w:p>
      <w:r>
        <w:t>Each peptide was represented by 32 conventional sequence-derived features. These included peptide length, molecular weight, net charge at pH 7.4, isoelectric point, mean Eisenberg hydrophobicity, hydrophobic moment, charge density, aliphatic index, Boman index, hydrophobic ratio, and amino-acid-composition variables. All features were checked for missing, infinite, and constant values before modeling.</w:t>
      </w:r>
    </w:p>
    <w:p>
      <w:pPr>
        <w:pStyle w:val="Equation"/>
        <w:jc w:val="center"/>
      </w:pPr>
      <w:r>
        <w:rPr>
          <w:rFonts w:ascii="Cambria Math" w:hAnsi="Cambria Math"/>
          <w:sz w:val="21"/>
        </w:rPr>
        <w:t>AAC_i = n_i / L     (2)</w:t>
      </w:r>
    </w:p>
    <w:p>
      <w:r>
        <w:t>For amino-acid type i, n_i denotes its count in a peptide and L denotes peptide length. The 20 amino-acid composition fractions therefore sum to approximately one.</w:t>
      </w:r>
    </w:p>
    <w:p>
      <w:pPr>
        <w:pStyle w:val="Equation"/>
        <w:jc w:val="center"/>
      </w:pPr>
      <w:r>
        <w:rPr>
          <w:rFonts w:ascii="Cambria Math" w:hAnsi="Cambria Math"/>
          <w:sz w:val="21"/>
        </w:rPr>
        <w:t>Charge density = Q_pH7.4 / L     (3)</w:t>
      </w:r>
    </w:p>
    <w:p>
      <w:r>
        <w:t>Q_pH7.4 is the estimated peptide net charge at pH 7.4 and L is peptide length.</w:t>
      </w:r>
    </w:p>
    <w:p>
      <w:pPr>
        <w:pStyle w:val="Equation"/>
        <w:jc w:val="center"/>
      </w:pPr>
      <w:r>
        <w:rPr>
          <w:rFonts w:ascii="Cambria Math" w:hAnsi="Cambria Math"/>
          <w:sz w:val="21"/>
        </w:rPr>
        <w:t>Aliphatic index = X_Ala + a X_Val + b (X_Ile + X_Leu)     (4)</w:t>
      </w:r>
    </w:p>
    <w:p>
      <w:r>
        <w:t>X denotes the mole percentage of the corresponding residue; the descriptor summarizes the relative contribution of aliphatic side chains.</w:t>
      </w:r>
    </w:p>
    <w:p>
      <w:pPr>
        <w:pStyle w:val="Equation"/>
        <w:jc w:val="center"/>
      </w:pPr>
      <w:r>
        <w:rPr>
          <w:rFonts w:ascii="Cambria Math" w:hAnsi="Cambria Math"/>
          <w:sz w:val="21"/>
        </w:rPr>
        <w:t>μH = (1/L) sqrt[(Σ h_i cos(iδ))² + (Σ h_i sin(iδ))²]     (5)</w:t>
      </w:r>
    </w:p>
    <w:p>
      <w:r>
        <w:t>Hydrophobic moment μH was used as a sequence-order-sensitive measure of amphipathicity, where h_i is the residue hydrophobicity and δ is the angular increment appropriate to the assumed periodic arrangement.</w:t>
      </w:r>
    </w:p>
    <w:p>
      <w:r>
        <w:t>Exploratory comparisons of principal physicochemical descriptors between Active and Inactive peptides were performed using the Mann-Whitney U test. Multiple comparisons were controlled using the Benjamini-Hochberg false-discovery-rate procedure. Associations between continuous descriptors were evaluated using Spearman rank correlation.</w:t>
      </w:r>
    </w:p>
    <w:p>
      <w:pPr>
        <w:pStyle w:val="Equation"/>
        <w:jc w:val="center"/>
      </w:pPr>
      <w:r>
        <w:rPr>
          <w:rFonts w:ascii="Cambria Math" w:hAnsi="Cambria Math"/>
          <w:sz w:val="21"/>
        </w:rPr>
        <w:t>ρ_s = 1 - [6 Σ d_i²] / [n(n² - 1)]     (6)</w:t>
      </w:r>
    </w:p>
    <w:p>
      <w:r>
        <w:t>For the no-tie form of Spearman correlation, d_i is the difference between paired ranks and n is the number of observations.</w:t>
      </w:r>
    </w:p>
    <w:p>
      <w:pPr>
        <w:pStyle w:val="Heading1"/>
      </w:pPr>
      <w:r>
        <w:t>Traditional machine-learning models</w:t>
      </w:r>
    </w:p>
    <w:p>
      <w:r>
        <w:t>Four supervised classifiers were evaluated using the 32-dimensional traditional representation: Logistic Regression, radial-basis-function Support Vector Machine (RBF-SVM), Random Forest, and XGBoost. Model development was performed exclusively within the 720-peptide development set using the five fixed cross-validation folds. Scaling operations were fitted only to the training partition of each fold and then applied to its validation partition. Logistic Regression and RBF-SVM used standardized features, whereas tree-based models used their corresponding unscaled representation.</w:t>
      </w:r>
    </w:p>
    <w:p>
      <w:pPr>
        <w:pStyle w:val="Equation"/>
        <w:jc w:val="center"/>
      </w:pPr>
      <w:r>
        <w:rPr>
          <w:rFonts w:ascii="Cambria Math" w:hAnsi="Cambria Math"/>
          <w:sz w:val="21"/>
        </w:rPr>
        <w:t>p(y=1|x) = 1 / [1 + exp(-(β₀ + βᵀx))]     (7)</w:t>
      </w:r>
    </w:p>
    <w:p>
      <w:r>
        <w:t>Logistic Regression modeled the probability of the Active class from the linear predictor β₀ + βᵀx.</w:t>
      </w:r>
    </w:p>
    <w:p>
      <w:pPr>
        <w:pStyle w:val="Equation"/>
        <w:jc w:val="center"/>
      </w:pPr>
      <w:r>
        <w:rPr>
          <w:rFonts w:ascii="Cambria Math" w:hAnsi="Cambria Math"/>
          <w:sz w:val="21"/>
        </w:rPr>
        <w:t>K(x_i,x_j) = exp(-γ ||x_i - x_j||²)     (8)</w:t>
      </w:r>
    </w:p>
    <w:p>
      <w:r>
        <w:t>The RBF-SVM used the radial-basis-function kernel, where γ controls the spatial width of the kernel.</w:t>
      </w:r>
    </w:p>
    <w:p>
      <w:r>
        <w:t>Class imbalance was addressed using model-appropriate weighting. Hyperparameters were selected only from development-set cross-validation performance. After the configurations were frozen, final models were fitted once using all 720 development peptides and evaluated on the locked test set. The classification threshold remained fixed at 0.50.</w:t>
      </w:r>
    </w:p>
    <w:p>
      <w:pPr>
        <w:pStyle w:val="Heading1"/>
      </w:pPr>
      <w:r>
        <w:t>ESM-2 protein-language-model representation</w:t>
      </w:r>
    </w:p>
    <w:p>
      <w:r>
        <w:t>Contextual peptide embeddings were generated with the pretrained ESM-2 model facebook/esm2_t33_650M_UR50D. The model was used without task-specific fine-tuning. Beginning-of-sequence, end-of-sequence, and padding tokens were excluded from residue pooling. The remaining residue-level hidden states were averaged to generate one 1,280-dimensional vector per peptide. The final embedding matrix therefore had dimensions 901 x 1,280 and contained no missing or non-finite values.</w:t>
      </w:r>
    </w:p>
    <w:p>
      <w:pPr>
        <w:pStyle w:val="Equation"/>
        <w:jc w:val="center"/>
      </w:pPr>
      <w:r>
        <w:rPr>
          <w:rFonts w:ascii="Cambria Math" w:hAnsi="Cambria Math"/>
          <w:sz w:val="21"/>
        </w:rPr>
        <w:t>e_peptide = (1/L) Σ_(i=1)^L h_i     (9)</w:t>
      </w:r>
    </w:p>
    <w:p>
      <w:r>
        <w:t>Here h_i is the 1,280-dimensional ESM-2 hidden representation of residue i and e_peptide is the mean-pooled peptide embedding.</w:t>
      </w:r>
    </w:p>
    <w:p>
      <w:r>
        <w:t>Where dimensionality reduction was required, StandardScaler and principal component analysis (PCA) were fitted only on the relevant training population.</w:t>
      </w:r>
    </w:p>
    <w:p>
      <w:pPr>
        <w:pStyle w:val="Equation"/>
        <w:jc w:val="center"/>
      </w:pPr>
      <w:r>
        <w:rPr>
          <w:rFonts w:ascii="Cambria Math" w:hAnsi="Cambria Math"/>
          <w:sz w:val="21"/>
        </w:rPr>
        <w:t>z_j = (x_j - μ_j) / σ_j     (10)</w:t>
      </w:r>
    </w:p>
    <w:p>
      <w:r>
        <w:t>Standardization used the training-set mean μ_j and standard deviation σ_j for feature j.</w:t>
      </w:r>
    </w:p>
    <w:p>
      <w:pPr>
        <w:pStyle w:val="Equation"/>
        <w:jc w:val="center"/>
      </w:pPr>
      <w:r>
        <w:rPr>
          <w:rFonts w:ascii="Cambria Math" w:hAnsi="Cambria Math"/>
          <w:sz w:val="21"/>
        </w:rPr>
        <w:t>Explained variance ratio_k = λ_k / Σ_j λ_j     (11)</w:t>
      </w:r>
    </w:p>
    <w:p>
      <w:r>
        <w:t>PCA component counts were determined from cumulative explained variance rather than from locked-test performance.</w:t>
      </w:r>
    </w:p>
    <w:p>
      <w:pPr>
        <w:pStyle w:val="Heading1"/>
      </w:pPr>
      <w:r>
        <w:t>ESM-2-based classifiers</w:t>
      </w:r>
    </w:p>
    <w:p>
      <w:r>
        <w:t>Logistic Regression, RBF-SVM, Random Forest, and XGBoost were evaluated using the ESM-2 representation under the same development/test separation. The final ESM-2 Random Forest used 300 trees, unrestricted maximum depth, minimum leaf size of one, balanced class weighting, and random state 2026. The final ESM-2 XGBoost used 500 estimators, maximum depth 3, learning rate 0.1, subsample 0.8, colsample_bytree 0.6, histogram tree construction, binary logistic objective, and random state 2026. Fold-specific scale_pos_weight values reflected the inactive-to-active ratio.</w:t>
      </w:r>
    </w:p>
    <w:p>
      <w:pPr>
        <w:pStyle w:val="Equation"/>
        <w:jc w:val="center"/>
      </w:pPr>
      <w:r>
        <w:rPr>
          <w:rFonts w:ascii="Cambria Math" w:hAnsi="Cambria Math"/>
          <w:sz w:val="21"/>
        </w:rPr>
        <w:t>scale_pos_weight = N_inactive / N_active     (12)</w:t>
      </w:r>
    </w:p>
    <w:p>
      <w:r>
        <w:t>This weighting increased the contribution of the minority Active class during XGBoost training.</w:t>
      </w:r>
    </w:p>
    <w:p>
      <w:r>
        <w:t>Frozen final models were evaluated once on the same 181 locked-test peptides. Their probabilities and classifications were retained for subsequent uncertainty, calibration, decision-utility, error, and interpretability analyses.</w:t>
      </w:r>
    </w:p>
    <w:p>
      <w:pPr>
        <w:pStyle w:val="Heading1"/>
      </w:pPr>
      <w:r>
        <w:t>Predictive-performance metrics</w:t>
      </w:r>
    </w:p>
    <w:p>
      <w:r>
        <w:t>Model performance was evaluated using AUROC, AUPRC, Matthews correlation coefficient (MCC), F1 score, accuracy, sensitivity, specificity, and precision. Ranking metrics were calculated from predicted probabilities, whereas threshold-dependent metrics used the frozen probability cutoff of 0.50.</w:t>
      </w:r>
    </w:p>
    <w:p>
      <w:pPr>
        <w:pStyle w:val="Equation"/>
        <w:jc w:val="center"/>
      </w:pPr>
      <w:r>
        <w:rPr>
          <w:rFonts w:ascii="Cambria Math" w:hAnsi="Cambria Math"/>
          <w:sz w:val="21"/>
        </w:rPr>
        <w:t>Sensitivity = TP / (TP + FN)     (13)</w:t>
      </w:r>
    </w:p>
    <w:p>
      <w:pPr>
        <w:pStyle w:val="Equation"/>
        <w:jc w:val="center"/>
      </w:pPr>
      <w:r>
        <w:rPr>
          <w:rFonts w:ascii="Cambria Math" w:hAnsi="Cambria Math"/>
          <w:sz w:val="21"/>
        </w:rPr>
        <w:t>Specificity = TN / (TN + FP)     (14)</w:t>
      </w:r>
    </w:p>
    <w:p>
      <w:pPr>
        <w:pStyle w:val="Equation"/>
        <w:jc w:val="center"/>
      </w:pPr>
      <w:r>
        <w:rPr>
          <w:rFonts w:ascii="Cambria Math" w:hAnsi="Cambria Math"/>
          <w:sz w:val="21"/>
        </w:rPr>
        <w:t>Precision = TP / (TP + FP)     (15)</w:t>
      </w:r>
    </w:p>
    <w:p>
      <w:pPr>
        <w:pStyle w:val="Equation"/>
        <w:jc w:val="center"/>
      </w:pPr>
      <w:r>
        <w:rPr>
          <w:rFonts w:ascii="Cambria Math" w:hAnsi="Cambria Math"/>
          <w:sz w:val="21"/>
        </w:rPr>
        <w:t>Accuracy = (TP + TN) / (TP + TN + FP + FN)     (16)</w:t>
      </w:r>
    </w:p>
    <w:p>
      <w:pPr>
        <w:pStyle w:val="Equation"/>
        <w:jc w:val="center"/>
      </w:pPr>
      <w:r>
        <w:rPr>
          <w:rFonts w:ascii="Cambria Math" w:hAnsi="Cambria Math"/>
          <w:sz w:val="21"/>
        </w:rPr>
        <w:t>F1 = 2 × (Precision × Sensitivity) / (Precision + Sensitivity)     (17)</w:t>
      </w:r>
    </w:p>
    <w:p>
      <w:pPr>
        <w:pStyle w:val="Equation"/>
        <w:jc w:val="center"/>
      </w:pPr>
      <w:r>
        <w:rPr>
          <w:rFonts w:ascii="Cambria Math" w:hAnsi="Cambria Math"/>
          <w:sz w:val="21"/>
        </w:rPr>
        <w:t>MCC = (TP×TN - FP×FN) / sqrt[(TP+FP)(TP+FN)(TN+FP)(TN+FN)]     (18)</w:t>
      </w:r>
    </w:p>
    <w:p>
      <w:r>
        <w:t>AUROC summarized the probability that a randomly selected Active peptide received a higher model score than a randomly selected Inactive peptide. Because the dataset was strongly imbalanced, AUPRC was also emphasized to characterize precision-recall behavior for the minority Active class.</w:t>
      </w:r>
    </w:p>
    <w:p>
      <w:pPr>
        <w:pStyle w:val="Heading1"/>
      </w:pPr>
      <w:r>
        <w:t>Bootstrap uncertainty and paired model comparisons</w:t>
      </w:r>
    </w:p>
    <w:p>
      <w:r>
        <w:t>Sampling uncertainty was assessed with 5,000 stratified bootstrap replicates generated using seed 2026. Each replicate sampled 20 Active and 161 Inactive locked-test observations with replacement. For paired comparisons, exactly the same sampled index vector was reused for the compared models, preserving the paired design.</w:t>
      </w:r>
    </w:p>
    <w:p>
      <w:pPr>
        <w:pStyle w:val="Equation"/>
        <w:jc w:val="center"/>
      </w:pPr>
      <w:r>
        <w:rPr>
          <w:rFonts w:ascii="Cambria Math" w:hAnsi="Cambria Math"/>
          <w:sz w:val="21"/>
        </w:rPr>
        <w:t>Δ_m = Metric_modelA,m - Metric_modelB,m     (19)</w:t>
      </w:r>
    </w:p>
    <w:p>
      <w:r>
        <w:t>For bootstrap replicate m, model differences were calculated on the same resampled peptides. The sign convention depended on the predefined comparison, such as ESM-2 minus Traditional or Fusion minus ESM-2.</w:t>
      </w:r>
    </w:p>
    <w:p>
      <w:pPr>
        <w:pStyle w:val="Equation"/>
        <w:jc w:val="center"/>
      </w:pPr>
      <w:r>
        <w:rPr>
          <w:rFonts w:ascii="Cambria Math" w:hAnsi="Cambria Math"/>
          <w:sz w:val="21"/>
        </w:rPr>
        <w:t>95% CI = [Q_0.025(Δ), Q_0.975(Δ)]     (20)</w:t>
      </w:r>
    </w:p>
    <w:p>
      <w:r>
        <w:t>Paired 95% percentile intervals were obtained from the 2.5th and 97.5th percentiles of the bootstrap delta distribution.</w:t>
      </w:r>
    </w:p>
    <w:p>
      <w:pPr>
        <w:pStyle w:val="Equation"/>
        <w:jc w:val="center"/>
      </w:pPr>
      <w:r>
        <w:rPr>
          <w:rFonts w:ascii="Cambria Math" w:hAnsi="Cambria Math"/>
          <w:sz w:val="21"/>
        </w:rPr>
        <w:t>SE_boot = sqrt{ Σ(θ_b - θ̄_boot)² / (B - 1) }     (21)</w:t>
      </w:r>
    </w:p>
    <w:p>
      <w:r>
        <w:t>Bootstrap standard errors were calculated across B=5,000 replicate estimates.</w:t>
      </w:r>
    </w:p>
    <w:p>
      <w:r>
        <w:t>Intervals containing zero were interpreted as compatible with no directional difference under the paired bootstrap. These descriptive intervals were not treated as multiplicity-adjusted confirmatory p-values and were not used to declare global model superiority.</w:t>
      </w:r>
    </w:p>
    <w:p>
      <w:pPr>
        <w:pStyle w:val="Heading1"/>
      </w:pPr>
      <w:r>
        <w:t>Probability calibration</w:t>
      </w:r>
    </w:p>
    <w:p>
      <w:r>
        <w:t>Calibration of frozen probabilities was assessed using Brier score, log loss, and 10-bin expected calibration error (ECE). No post hoc recalibration was performed.</w:t>
      </w:r>
    </w:p>
    <w:p>
      <w:pPr>
        <w:pStyle w:val="Equation"/>
        <w:jc w:val="center"/>
      </w:pPr>
      <w:r>
        <w:rPr>
          <w:rFonts w:ascii="Cambria Math" w:hAnsi="Cambria Math"/>
          <w:sz w:val="21"/>
        </w:rPr>
        <w:t>Brier = (1/N) Σ_(i=1)^N (p_i - y_i)²     (22)</w:t>
      </w:r>
    </w:p>
    <w:p>
      <w:pPr>
        <w:pStyle w:val="Equation"/>
        <w:jc w:val="center"/>
      </w:pPr>
      <w:r>
        <w:rPr>
          <w:rFonts w:ascii="Cambria Math" w:hAnsi="Cambria Math"/>
          <w:sz w:val="21"/>
        </w:rPr>
        <w:t>Log loss = -(1/N) Σ_[y_i ln(p_i) + (1-y_i) ln(1-p_i)]     (23)</w:t>
      </w:r>
    </w:p>
    <w:p>
      <w:pPr>
        <w:pStyle w:val="Equation"/>
        <w:jc w:val="center"/>
      </w:pPr>
      <w:r>
        <w:rPr>
          <w:rFonts w:ascii="Cambria Math" w:hAnsi="Cambria Math"/>
          <w:sz w:val="21"/>
        </w:rPr>
        <w:t>ECE = Σ_(b=1)^B (n_b/N) |acc(b) - conf(b)|     (24)</w:t>
      </w:r>
    </w:p>
    <w:p>
      <w:r>
        <w:t>For ECE, B=10 probability bins were used; acc(b) is the empirical event frequency and conf(b) is the mean predicted probability in bin b. Lower Brier score, log loss, and ECE indicate better calibration.</w:t>
      </w:r>
    </w:p>
    <w:p>
      <w:pPr>
        <w:pStyle w:val="Heading1"/>
      </w:pPr>
      <w:r>
        <w:t>Decision-curve analysis</w:t>
      </w:r>
    </w:p>
    <w:p>
      <w:r>
        <w:t>Potential decision utility was examined using decision-curve analysis over predefined probability thresholds from 0.05 to 0.50 in increments of 0.01. This analysis did not optimize or replace the fixed 0.50 classification cutoff.</w:t>
      </w:r>
    </w:p>
    <w:p>
      <w:pPr>
        <w:pStyle w:val="Equation"/>
        <w:jc w:val="center"/>
      </w:pPr>
      <w:r>
        <w:rPr>
          <w:rFonts w:ascii="Cambria Math" w:hAnsi="Cambria Math"/>
          <w:sz w:val="21"/>
        </w:rPr>
        <w:t>NB(p_t) = TP/N - FP/N × [p_t/(1-p_t)]     (25)</w:t>
      </w:r>
    </w:p>
    <w:p>
      <w:pPr>
        <w:pStyle w:val="Equation"/>
        <w:jc w:val="center"/>
      </w:pPr>
      <w:r>
        <w:rPr>
          <w:rFonts w:ascii="Cambria Math" w:hAnsi="Cambria Math"/>
          <w:sz w:val="21"/>
        </w:rPr>
        <w:t>NB_all(p_t) = Prevalence - (1-Prevalence) × [p_t/(1-p_t)]     (26)</w:t>
      </w:r>
    </w:p>
    <w:p>
      <w:pPr>
        <w:pStyle w:val="Equation"/>
        <w:jc w:val="center"/>
      </w:pPr>
      <w:r>
        <w:rPr>
          <w:rFonts w:ascii="Cambria Math" w:hAnsi="Cambria Math"/>
          <w:sz w:val="21"/>
        </w:rPr>
        <w:t>Standardized NB = NB / Prevalence     (27)</w:t>
      </w:r>
    </w:p>
    <w:p>
      <w:r>
        <w:t>Model net benefit was compared with prioritize-none and prioritize-all strategies. Mean net benefit was summarized over 0.05-0.20 and 0.05-0.50.</w:t>
      </w:r>
    </w:p>
    <w:p>
      <w:pPr>
        <w:pStyle w:val="Heading1"/>
      </w:pPr>
      <w:r>
        <w:t>Sequence similarity, novelty, and neighborhood analyses</w:t>
      </w:r>
    </w:p>
    <w:p>
      <w:r>
        <w:t>Generalization was examined in relation to peptide sequence similarity and predefined sequence-novelty subsets. Locked-test subsets were evaluated at predefined similarity criteria, including 0.80, 0.90, and 0.95, while retaining the corresponding subset sizes and class prevalence for interpretation. AUROC and AUPRC were reassessed within these subsets.</w:t>
      </w:r>
    </w:p>
    <w:p>
      <w:r>
        <w:t>Nearest-neighbor relationships were additionally examined in sequence and ESM-2 representation spaces. Same-class and opposite-class similarities were retained separately.</w:t>
      </w:r>
    </w:p>
    <w:p>
      <w:pPr>
        <w:pStyle w:val="Equation"/>
        <w:jc w:val="center"/>
      </w:pPr>
      <w:r>
        <w:rPr>
          <w:rFonts w:ascii="Cambria Math" w:hAnsi="Cambria Math"/>
          <w:sz w:val="21"/>
        </w:rPr>
        <w:t>Proximity margin = S_opposite - S_same     (28)</w:t>
      </w:r>
    </w:p>
    <w:p>
      <w:r>
        <w:t>S_opposite is similarity to the nearest opposite-class peptide and S_same is similarity to the nearest same-class peptide. Positive margins indicate that the opposite class is closer, negative margins indicate that the same class is closer, and zero represents a tie.</w:t>
      </w:r>
    </w:p>
    <w:p>
      <w:pPr>
        <w:pStyle w:val="Equation"/>
        <w:jc w:val="center"/>
      </w:pPr>
      <w:r>
        <w:rPr>
          <w:rFonts w:ascii="Cambria Math" w:hAnsi="Cambria Math"/>
          <w:sz w:val="21"/>
        </w:rPr>
        <w:t>Top-k purity = N_same-class among k neighbors / k     (29)</w:t>
      </w:r>
    </w:p>
    <w:p>
      <w:r>
        <w:t>Development-neighborhood purity was used to quantify the local class composition surrounding each peptide.</w:t>
      </w:r>
    </w:p>
    <w:p>
      <w:pPr>
        <w:pStyle w:val="Heading1"/>
      </w:pPr>
      <w:r>
        <w:t>Feature-space complementarity and cross-validated CCA</w:t>
      </w:r>
    </w:p>
    <w:p>
      <w:r>
        <w:t>The relationship between conventional physicochemical descriptors and ESM-2 representations was examined using PCA, canonical correlation analysis (CCA), and descriptor-PC Spearman associations. Initial development-set analysis showed strong shared structure, so a leakage-safe cross-validated CCA analysis was subsequently performed to quantify out-of-fold persistence.</w:t>
      </w:r>
    </w:p>
    <w:p>
      <w:r>
        <w:t>Within each fixed development fold, StandardScaler and PCA were independently fitted to the 576 training peptides in each representation. The minimum number of PCs explaining at least 90% of training variance was determined separately in every fold. CCA was then fitted to paired training PC scores, with the number of canonical dimensions capped at 10.</w:t>
      </w:r>
    </w:p>
    <w:p>
      <w:pPr>
        <w:pStyle w:val="Equation"/>
        <w:jc w:val="center"/>
      </w:pPr>
      <w:r>
        <w:rPr>
          <w:rFonts w:ascii="Cambria Math" w:hAnsi="Cambria Math"/>
          <w:sz w:val="21"/>
        </w:rPr>
        <w:t>ρ_k = corr(U_k, V_k)     (30)</w:t>
      </w:r>
    </w:p>
    <w:p>
      <w:pPr>
        <w:pStyle w:val="Equation"/>
        <w:jc w:val="center"/>
      </w:pPr>
      <w:r>
        <w:rPr>
          <w:rFonts w:ascii="Cambria Math" w:hAnsi="Cambria Math"/>
          <w:sz w:val="21"/>
        </w:rPr>
        <w:t>U_k = X_PCA a_k ;   V_k = Y_PCA b_k     (31)</w:t>
      </w:r>
    </w:p>
    <w:p>
      <w:r>
        <w:t>CCA identifies weight vectors a_k and b_k that maximize the correlation between paired canonical variates U_k and V_k.</w:t>
      </w:r>
    </w:p>
    <w:p>
      <w:pPr>
        <w:pStyle w:val="Equation"/>
        <w:jc w:val="center"/>
      </w:pPr>
      <w:r>
        <w:rPr>
          <w:rFonts w:ascii="Cambria Math" w:hAnsi="Cambria Math"/>
          <w:sz w:val="21"/>
        </w:rPr>
        <w:t>(a_k,b_k) = argmax corr(X_PCA a_k, Y_PCA b_k)     (32)</w:t>
      </w:r>
    </w:p>
    <w:p>
      <w:r>
        <w:t>The fitted scalers, PCA models, and CCA transformation were applied to the corresponding 144 validation peptides without refitting. Training and validation canonical correlations were calculated separately. Validation correlations were not forced to be positive.</w:t>
      </w:r>
    </w:p>
    <w:p>
      <w:pPr>
        <w:pStyle w:val="Equation"/>
        <w:jc w:val="center"/>
      </w:pPr>
      <w:r>
        <w:rPr>
          <w:rFonts w:ascii="Cambria Math" w:hAnsi="Cambria Math"/>
          <w:sz w:val="21"/>
        </w:rPr>
        <w:t>MeanAbsVal(CC1:K) = (1/K) Σ_(k=1)^K |ρ_validation,k|     (33)</w:t>
      </w:r>
    </w:p>
    <w:p>
      <w:r>
        <w:t>Compact validation summaries were calculated for CC1-CC3, CC1-CC5, and all available dimensions through CC10. Locked-test peptides were not fitted or transformed during this analysis.</w:t>
      </w:r>
    </w:p>
    <w:p>
      <w:pPr>
        <w:pStyle w:val="Heading1"/>
      </w:pPr>
      <w:r>
        <w:t>Traditional-ESM-2 feature fusion</w:t>
      </w:r>
    </w:p>
    <w:p>
      <w:r>
        <w:t>A restricted fusion experiment assessed whether conventional physicochemical information provided predictive value beyond ESM-2 embeddings. Fusion was evaluated for Logistic Regression and RBF-SVM. All transformations were fitted within the training partition of each fixed development fold before concatenation.</w:t>
      </w:r>
    </w:p>
    <w:p>
      <w:pPr>
        <w:pStyle w:val="Equation"/>
        <w:jc w:val="center"/>
      </w:pPr>
      <w:r>
        <w:rPr>
          <w:rFonts w:ascii="Cambria Math" w:hAnsi="Cambria Math"/>
          <w:sz w:val="21"/>
        </w:rPr>
        <w:t>x_fusion = [x_traditional || z_ESM2,PCA]     (34)</w:t>
      </w:r>
    </w:p>
    <w:p>
      <w:r>
        <w:t>The fusion vector concatenated the 32 traditional descriptors with the fold-fitted ESM-2 PCA representation.</w:t>
      </w:r>
    </w:p>
    <w:p>
      <w:r>
        <w:t>The selected fusion Logistic Regression used 24 ESM-2 PCs together with 32 traditional descriptors (56 total dimensions) and C=1.0. The selected fusion RBF-SVM used 99 ESM-2 PCs plus the 32 traditional descriptors (131 dimensions), with C=1.0 and gamma=0.001. After configuration selection exclusively by development cross-validation, final pipelines were fitted on all 720 development peptides and evaluated once on the locked test set.</w:t>
      </w:r>
    </w:p>
    <w:p>
      <w:r>
        <w:t>Fusion models were compared with their matched ESM-2-only counterparts using 5,000 paired stratified bootstrap replicates for AUROC, AUPRC, MCC, and F1. Because all eight paired intervals included zero, no additional Random Forest or XGBoost fusion models were developed.</w:t>
      </w:r>
    </w:p>
    <w:p>
      <w:pPr>
        <w:pStyle w:val="Heading1"/>
      </w:pPr>
      <w:r>
        <w:t>ESM-2 latent-feature importance and stability</w:t>
      </w:r>
    </w:p>
    <w:p>
      <w:r>
        <w:t>The stability of ESM-2 latent coordinates used by the frozen Random Forest and XGBoost configurations was evaluated across the five fixed development folds. Only fold-training observations entered importance estimation. Random Forest importance was based on normalized mean decrease in impurity, whereas XGBoost importance was based on normalized booster gain, with unused dimensions assigned zero before normalization.</w:t>
      </w:r>
    </w:p>
    <w:p>
      <w:pPr>
        <w:pStyle w:val="Equation"/>
        <w:jc w:val="center"/>
      </w:pPr>
      <w:r>
        <w:rPr>
          <w:rFonts w:ascii="Cambria Math" w:hAnsi="Cambria Math"/>
          <w:sz w:val="21"/>
        </w:rPr>
        <w:t>I'_j = I_j / Σ_(k=1)^1280 I_k     (35)</w:t>
      </w:r>
    </w:p>
    <w:p>
      <w:r>
        <w:t>Within each fold, feature importance was normalized to sum to one.</w:t>
      </w:r>
    </w:p>
    <w:p>
      <w:pPr>
        <w:pStyle w:val="Equation"/>
        <w:jc w:val="center"/>
      </w:pPr>
      <w:r>
        <w:rPr>
          <w:rFonts w:ascii="Cambria Math" w:hAnsi="Cambria Math"/>
          <w:sz w:val="21"/>
        </w:rPr>
        <w:t>J(A,B) = |A ∩ B| / |A ∪ B|     (36)</w:t>
      </w:r>
    </w:p>
    <w:p>
      <w:r>
        <w:t>Cross-model stability overlap was summarized using the Jaccard index. Stable top-20 dimensions were defined as appearing in the top 20 in at least three of five folds; stable top-50 dimensions appeared in the top 50 in at least four folds.</w:t>
      </w:r>
    </w:p>
    <w:p>
      <w:r>
        <w:t>Latent dimensions were interpreted as classifier-used representation coordinates rather than biological pathways, residue properties, or validated molecular determinants.</w:t>
      </w:r>
    </w:p>
    <w:p>
      <w:pPr>
        <w:pStyle w:val="Heading1"/>
      </w:pPr>
      <w:r>
        <w:t>Consensus errors and hard-case analysis</w:t>
      </w:r>
    </w:p>
    <w:p>
      <w:r>
        <w:t>Errors were compared across all eight primary models. A hard case was defined as a locked-test peptide misclassified by at least three models. Fifteen peptides met this criterion. Five peptides (IDs 48, 40, 145, 56, and 68) were incorrectly classified by all eight models and were designated universal consensus errors.</w:t>
      </w:r>
    </w:p>
    <w:p>
      <w:pPr>
        <w:pStyle w:val="Equation"/>
        <w:jc w:val="center"/>
      </w:pPr>
      <w:r>
        <w:rPr>
          <w:rFonts w:ascii="Cambria Math" w:hAnsi="Cambria Math"/>
          <w:sz w:val="21"/>
        </w:rPr>
        <w:t>Error count_i = Σ_(m=1)^8 1(ŷ_im ≠ y_i)     (37)</w:t>
      </w:r>
    </w:p>
    <w:p>
      <w:pPr>
        <w:pStyle w:val="Equation"/>
        <w:jc w:val="center"/>
      </w:pPr>
      <w:r>
        <w:rPr>
          <w:rFonts w:ascii="Cambria Math" w:hAnsi="Cambria Math"/>
          <w:sz w:val="21"/>
        </w:rPr>
        <w:t>Mean true-class probability_i = (1/8) Σ_(m=1)^8 P_m(y_i | x_i)     (38)</w:t>
      </w:r>
    </w:p>
    <w:p>
      <w:r>
        <w:t>These quantities summarized cross-model error persistence and confidence without changing the frozen predictions.</w:t>
      </w:r>
    </w:p>
    <w:p>
      <w:r>
        <w:t>Integrated hard-case evidence included descriptor extremeness, sequence and ESM-2 proximity margins, development-neighborhood purity, and residue-level sensitivity when available. Low development ESM-2 top-10 purity was predefined as &lt;0.50, high descriptor extremeness as mean absolute descriptor z-score &gt;=1.0, and high residue sensitivity as maximum consensus absolute sensitivity &gt;=0.10. These flags were descriptive and were never combined into a weighted model-selection score.</w:t>
      </w:r>
    </w:p>
    <w:p>
      <w:pPr>
        <w:pStyle w:val="Heading1"/>
      </w:pPr>
      <w:r>
        <w:t>Residue-level alanine perturbation analysis</w:t>
      </w:r>
    </w:p>
    <w:p>
      <w:r>
        <w:t>Residue-level sensitivity was evaluated in a predefined contrastive panel containing the five universal errors and five reproducible high-confidence consensus-correct controls. Controls were selected deterministically from peptides correctly classified by all eight models by ranking their eight-model mean true-class probability and retaining the top five. No manual balancing was applied.</w:t>
      </w:r>
    </w:p>
    <w:p>
      <w:r>
        <w:t>For every non-alanine position, one mutant was generated by replacing the original residue with alanine while preserving sequence length. Existing alanine positions were retained as explicit no-op positions but excluded from perturbation comparisons. ESM-2 embeddings were regenerated for original and mutant sequences using the same mean-pooling procedure. Frozen ESM-2 Random Forest and XGBoost models were applied without retraining.</w:t>
      </w:r>
    </w:p>
    <w:p>
      <w:pPr>
        <w:pStyle w:val="Equation"/>
        <w:jc w:val="center"/>
      </w:pPr>
      <w:r>
        <w:rPr>
          <w:rFonts w:ascii="Cambria Math" w:hAnsi="Cambria Math"/>
          <w:sz w:val="21"/>
        </w:rPr>
        <w:t>Δp_(i,r,m) = p_true(mutant_(i,r),m) - p_true(original_i,m)     (39)</w:t>
      </w:r>
    </w:p>
    <w:p>
      <w:pPr>
        <w:pStyle w:val="Equation"/>
        <w:jc w:val="center"/>
      </w:pPr>
      <w:r>
        <w:rPr>
          <w:rFonts w:ascii="Cambria Math" w:hAnsi="Cambria Math"/>
          <w:sz w:val="21"/>
        </w:rPr>
        <w:t>Sensitivity_(i,r,m) = |Δp_(i,r,m)|     (40)</w:t>
      </w:r>
    </w:p>
    <w:p>
      <w:pPr>
        <w:pStyle w:val="Equation"/>
        <w:jc w:val="center"/>
      </w:pPr>
      <w:r>
        <w:rPr>
          <w:rFonts w:ascii="Cambria Math" w:hAnsi="Cambria Math"/>
          <w:sz w:val="21"/>
        </w:rPr>
        <w:t>Consensus sensitivity_(i,r) = [Sensitivity_RF + Sensitivity_XGB] / 2     (41)</w:t>
      </w:r>
    </w:p>
    <w:p>
      <w:r>
        <w:t>Sensitivity therefore measures model response to a single alanine substitution, not biochemical activity change.</w:t>
      </w:r>
    </w:p>
    <w:p>
      <w:r>
        <w:t>A mutation was additionally recorded as prediction-flipping when its predicted probability crossed the fixed 0.50 threshold relative to the original prediction. Alanine scanning was interpreted strictly as a post hoc model-sensitivity analysis because substitutions simultaneously modify multiple physicochemical and contextual properties.</w:t>
      </w:r>
    </w:p>
    <w:p>
      <w:pPr>
        <w:pStyle w:val="Heading1"/>
      </w:pPr>
      <w:r>
        <w:t>Residue physicochemical and motif context</w:t>
      </w:r>
    </w:p>
    <w:p>
      <w:r>
        <w:t>Residues were grouped as basic (K, R, H), acidic (D, E), hydrophobic (A, V, I, L, M, F, W, Y), or polar/other (C, G, N, P, Q, S, T). Normalized residue position was defined relative to peptide length.</w:t>
      </w:r>
    </w:p>
    <w:p>
      <w:pPr>
        <w:pStyle w:val="Equation"/>
        <w:jc w:val="center"/>
      </w:pPr>
      <w:r>
        <w:rPr>
          <w:rFonts w:ascii="Cambria Math" w:hAnsi="Cambria Math"/>
          <w:sz w:val="21"/>
        </w:rPr>
        <w:t>Normalized position = residue position / peptide length     (42)</w:t>
      </w:r>
    </w:p>
    <w:p>
      <w:r>
        <w:t>The predefined recurrent motifs KK, KL, AK, LA, LAK, FA, KA, LK, AKL, KLL, KAL, and KLA were mapped onto the residue-level sensitivity profiles. Overlapping occurrences were retained, and each residue recorded whether it was covered by one or more motifs and the complete set of covering motifs.</w:t>
      </w:r>
    </w:p>
    <w:p>
      <w:pPr>
        <w:pStyle w:val="Equation"/>
        <w:jc w:val="center"/>
      </w:pPr>
      <w:r>
        <w:rPr>
          <w:rFonts w:ascii="Cambria Math" w:hAnsi="Cambria Math"/>
          <w:sz w:val="21"/>
        </w:rPr>
        <w:t>Motif coverage_(i,r) = 1 if residue r lies within &gt;=1 predefined motif; otherwise 0     (43)</w:t>
      </w:r>
    </w:p>
    <w:p>
      <w:r>
        <w:t>Sensitivity distributions were summarized descriptively for residue categories and motif-covered versus non-motif positions. No significance test was performed because the analysis involved an intentionally selected ten-peptide contrastive panel and several residue categories contained few observations.</w:t>
      </w:r>
    </w:p>
    <w:p>
      <w:pPr>
        <w:pStyle w:val="Heading1"/>
      </w:pPr>
      <w:r>
        <w:t>Integrated interpretation of universal prediction failures</w:t>
      </w:r>
    </w:p>
    <w:p>
      <w:r>
        <w:t>For the five universal errors, model, descriptor, neighborhood, and residue-level evidence was combined without new fitting or imputation. A transparent predefined hierarchy categorized cases as cross-class neighborhood conflict, same-class neighborhood but model-sensitive, mixed/ambiguous neighborhood, or sequence-context-sensitive hard case according to development sequence/ESM-2 proximity directions and residue sensitivity.</w:t>
      </w:r>
    </w:p>
    <w:p>
      <w:r>
        <w:t>These categories summarize model behavior only. They were not interpreted as evidence that the original activity label was incorrect, nor as proof of a biochemical mechanism, active site, or causal anticancer determinant.</w:t>
      </w:r>
    </w:p>
    <w:p>
      <w:pPr>
        <w:pStyle w:val="Heading1"/>
      </w:pPr>
      <w:r>
        <w:t>Statistical analysis, leakage control, and reproducibility</w:t>
      </w:r>
    </w:p>
    <w:p>
      <w:r>
        <w:t>The complete workflow was designed around a strict separation between the 720-peptide development population and the 181-peptide locked test set. Randomized procedures used seed 2026 where specified. The same fixed five development folds were reused for comparable model-development analyses. All preprocessing operations requiring parameter estimation were fitted only on the corresponding training observations.</w:t>
      </w:r>
    </w:p>
    <w:p>
      <w:pPr>
        <w:pStyle w:val="Equation"/>
        <w:jc w:val="center"/>
      </w:pPr>
      <w:r>
        <w:rPr>
          <w:rFonts w:ascii="Cambria Math" w:hAnsi="Cambria Math"/>
          <w:sz w:val="21"/>
        </w:rPr>
        <w:t>FDR_(i) = min_{j≥i} [m × p_(j) / j]     (44)</w:t>
      </w:r>
    </w:p>
    <w:p>
      <w:r>
        <w:t>Benjamini-Hochberg adjustment was used for predefined multiple descriptor comparisons, where p_(j) is the j-th ordered p-value and m is the number of tested hypotheses.</w:t>
      </w:r>
    </w:p>
    <w:p>
      <w:r>
        <w:t>No locked-test metric was used to retune a classifier, select a feature representation, optimize the 0.50 threshold, or recalibrate probabilities. Post hoc sequence-neighborhood, latent-feature, hard-case, and residue-perturbation analyses were not fed back into model training. Bootstrap, calibration, decision-curve, feature-space, fusion, and interpretability outputs were retained as separate auditable artifacts. Quality-control checks verified split integrity, row and identifier alignment, finite numerical values, fit-sample counts, shared bootstrap indices where required, and deterministic reproduction of saved summary statistics.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8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