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ortsight-analytics"/>
    <w:p>
      <w:pPr>
        <w:pStyle w:val="Heading1"/>
      </w:pPr>
      <w:r>
        <w:t xml:space="preserve">PortSight Analytics</w:t>
      </w:r>
    </w:p>
    <w:bookmarkStart w:id="21" w:name="X47d76011e14c13726cdabf5bc3e402353ff3499"/>
    <w:p>
      <w:pPr>
        <w:pStyle w:val="Heading2"/>
      </w:pPr>
      <w:r>
        <w:t xml:space="preserve">Infrastructure, Deployment and Cost Strategy Addendum</w:t>
      </w:r>
    </w:p>
    <w:bookmarkStart w:id="20" w:name="applicable-to-hld-srs-and-frs"/>
    <w:p>
      <w:pPr>
        <w:pStyle w:val="Heading3"/>
      </w:pPr>
      <w:r>
        <w:t xml:space="preserve">Applicable to HLD, SRS and FRS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infrastructure-strategy"/>
    <w:p>
      <w:pPr>
        <w:pStyle w:val="Heading1"/>
      </w:pPr>
      <w:r>
        <w:t xml:space="preserve">Infrastructure Strategy</w:t>
      </w:r>
    </w:p>
    <w:bookmarkStart w:id="23" w:name="design-philosophy"/>
    <w:p>
      <w:pPr>
        <w:pStyle w:val="Heading2"/>
      </w:pPr>
      <w:r>
        <w:t xml:space="preserve">Design Philosophy</w:t>
      </w:r>
    </w:p>
    <w:p>
      <w:pPr>
        <w:pStyle w:val="FirstParagraph"/>
      </w:pPr>
      <w:r>
        <w:t xml:space="preserve">PortSight Analytics is designed according to a Zero-Cost Development Strategy.</w:t>
      </w:r>
    </w:p>
    <w:p>
      <w:pPr>
        <w:pStyle w:val="BodyText"/>
      </w:pPr>
      <w:r>
        <w:t xml:space="preserve">The platform shall be fully buildable, testable, deployable, and demonstrable without requiring any paid infrastructure, cloud subscription, third-party service, or commercial software license.</w:t>
      </w:r>
    </w:p>
    <w:p>
      <w:pPr>
        <w:pStyle w:val="BodyText"/>
      </w:pPr>
      <w:r>
        <w:t xml:space="preserve">Despite operating at zero infrastructure cost during development, the architecture shall remain compatible with enterprise-grade cloud deployment environments.</w:t>
      </w:r>
    </w:p>
    <w:p>
      <w:pPr>
        <w:pStyle w:val="BodyText"/>
      </w:pPr>
      <w:r>
        <w:t xml:space="preserve">This approach ensures:</w:t>
      </w:r>
    </w:p>
    <w:p>
      <w:pPr>
        <w:pStyle w:val="Compact"/>
        <w:numPr>
          <w:ilvl w:val="0"/>
          <w:numId w:val="1001"/>
        </w:numPr>
      </w:pPr>
      <w:r>
        <w:t xml:space="preserve">No recurring development cost</w:t>
      </w:r>
    </w:p>
    <w:p>
      <w:pPr>
        <w:pStyle w:val="Compact"/>
        <w:numPr>
          <w:ilvl w:val="0"/>
          <w:numId w:val="1001"/>
        </w:numPr>
      </w:pPr>
      <w:r>
        <w:t xml:space="preserve">Complete local development capability</w:t>
      </w:r>
    </w:p>
    <w:p>
      <w:pPr>
        <w:pStyle w:val="Compact"/>
        <w:numPr>
          <w:ilvl w:val="0"/>
          <w:numId w:val="1001"/>
        </w:numPr>
      </w:pPr>
      <w:r>
        <w:t xml:space="preserve">Enterprise architecture alignment</w:t>
      </w:r>
    </w:p>
    <w:p>
      <w:pPr>
        <w:pStyle w:val="Compact"/>
        <w:numPr>
          <w:ilvl w:val="0"/>
          <w:numId w:val="1001"/>
        </w:numPr>
      </w:pPr>
      <w:r>
        <w:t xml:space="preserve">Easy migration to cloud infrastructure</w:t>
      </w:r>
    </w:p>
    <w:p>
      <w:pPr>
        <w:pStyle w:val="Compact"/>
        <w:numPr>
          <w:ilvl w:val="0"/>
          <w:numId w:val="1001"/>
        </w:numPr>
      </w:pPr>
      <w:r>
        <w:t xml:space="preserve">Reproducible environments for all developers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evelopment-environment"/>
    <w:p>
      <w:pPr>
        <w:pStyle w:val="Heading1"/>
      </w:pPr>
      <w:r>
        <w:t xml:space="preserve">Development Environment</w:t>
      </w:r>
    </w:p>
    <w:p>
      <w:pPr>
        <w:pStyle w:val="FirstParagraph"/>
      </w:pPr>
      <w:r>
        <w:t xml:space="preserve">The complete platform shall execute on a developer workstation using containerized services.</w:t>
      </w:r>
    </w:p>
    <w:p>
      <w:pPr>
        <w:pStyle w:val="BodyText"/>
      </w:pPr>
      <w:r>
        <w:t xml:space="preserve">All dependencies shall be deployed through Docker Compose.</w:t>
      </w:r>
    </w:p>
    <w:p>
      <w:pPr>
        <w:pStyle w:val="BodyText"/>
      </w:pPr>
      <w:r>
        <w:t xml:space="preserve">No mandatory cloud services shall be required during development.</w:t>
      </w:r>
    </w:p>
    <w:p>
      <w:r>
        <w:pict>
          <v:rect style="width:0;height:1.5pt" o:hralign="center" o:hrstd="t" o:hr="t"/>
        </w:pict>
      </w:r>
    </w:p>
    <w:bookmarkEnd w:id="25"/>
    <w:bookmarkStart w:id="35" w:name="local-infrastructure-stack"/>
    <w:p>
      <w:pPr>
        <w:pStyle w:val="Heading1"/>
      </w:pPr>
      <w:r>
        <w:t xml:space="preserve">Local Infrastructure Stack</w:t>
      </w:r>
    </w:p>
    <w:bookmarkStart w:id="26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React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Redux Toolkit</w:t>
      </w:r>
    </w:p>
    <w:p>
      <w:pPr>
        <w:pStyle w:val="BodyText"/>
      </w:pPr>
      <w:r>
        <w:t xml:space="preserve">TailwindCSS</w:t>
      </w:r>
    </w:p>
    <w:p>
      <w:r>
        <w:pict>
          <v:rect style="width:0;height:1.5pt" o:hralign="center" o:hrstd="t" o:hr="t"/>
        </w:pict>
      </w:r>
    </w:p>
    <w:bookmarkEnd w:id="26"/>
    <w:bookmarkStart w:id="27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Java 21</w:t>
      </w:r>
    </w:p>
    <w:p>
      <w:pPr>
        <w:pStyle w:val="BodyText"/>
      </w:pPr>
      <w:r>
        <w:t xml:space="preserve">Spring Boot 3</w:t>
      </w:r>
    </w:p>
    <w:p>
      <w:pPr>
        <w:pStyle w:val="BodyText"/>
      </w:pPr>
      <w:r>
        <w:t xml:space="preserve">Spring Security</w:t>
      </w:r>
    </w:p>
    <w:p>
      <w:pPr>
        <w:pStyle w:val="BodyText"/>
      </w:pPr>
      <w:r>
        <w:t xml:space="preserve">Spring Data JPA</w:t>
      </w:r>
    </w:p>
    <w:p>
      <w:pPr>
        <w:pStyle w:val="BodyText"/>
      </w:pPr>
      <w:r>
        <w:t xml:space="preserve">Hibernate</w:t>
      </w:r>
    </w:p>
    <w:p>
      <w:r>
        <w:pict>
          <v:rect style="width:0;height:1.5pt" o:hralign="center" o:hrstd="t" o:hr="t"/>
        </w:pict>
      </w:r>
    </w:p>
    <w:bookmarkEnd w:id="27"/>
    <w:bookmarkStart w:id="28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PostgreSQL</w:t>
      </w:r>
    </w:p>
    <w:p>
      <w:pPr>
        <w:pStyle w:val="BodyText"/>
      </w:pPr>
      <w:r>
        <w:t xml:space="preserve">Deployment:</w:t>
      </w:r>
    </w:p>
    <w:p>
      <w:pPr>
        <w:pStyle w:val="BodyText"/>
      </w:pPr>
      <w:r>
        <w:t xml:space="preserve">Docker Container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Primary transactional datastore.</w:t>
      </w:r>
    </w:p>
    <w:p>
      <w:r>
        <w:pict>
          <v:rect style="width:0;height:1.5pt" o:hralign="center" o:hrstd="t" o:hr="t"/>
        </w:pict>
      </w:r>
    </w:p>
    <w:bookmarkEnd w:id="28"/>
    <w:bookmarkStart w:id="29" w:name="cache"/>
    <w:p>
      <w:pPr>
        <w:pStyle w:val="Heading2"/>
      </w:pPr>
      <w:r>
        <w:t xml:space="preserve">Cache</w:t>
      </w:r>
    </w:p>
    <w:p>
      <w:pPr>
        <w:pStyle w:val="FirstParagraph"/>
      </w:pPr>
      <w:r>
        <w:t xml:space="preserve">Redis</w:t>
      </w:r>
    </w:p>
    <w:p>
      <w:pPr>
        <w:pStyle w:val="BodyText"/>
      </w:pPr>
      <w:r>
        <w:t xml:space="preserve">Deployment:</w:t>
      </w:r>
    </w:p>
    <w:p>
      <w:pPr>
        <w:pStyle w:val="BodyText"/>
      </w:pPr>
      <w:r>
        <w:t xml:space="preserve">Docker Container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Caching</w:t>
      </w:r>
    </w:p>
    <w:p>
      <w:pPr>
        <w:pStyle w:val="BodyText"/>
      </w:pPr>
      <w:r>
        <w:t xml:space="preserve">Session storage</w:t>
      </w:r>
    </w:p>
    <w:p>
      <w:pPr>
        <w:pStyle w:val="BodyText"/>
      </w:pPr>
      <w:r>
        <w:t xml:space="preserve">Performance optimization</w:t>
      </w:r>
    </w:p>
    <w:p>
      <w:r>
        <w:pict>
          <v:rect style="width:0;height:1.5pt" o:hralign="center" o:hrstd="t" o:hr="t"/>
        </w:pict>
      </w:r>
    </w:p>
    <w:bookmarkEnd w:id="29"/>
    <w:bookmarkStart w:id="30" w:name="event-streaming"/>
    <w:p>
      <w:pPr>
        <w:pStyle w:val="Heading2"/>
      </w:pPr>
      <w:r>
        <w:t xml:space="preserve">Event Streaming</w:t>
      </w:r>
    </w:p>
    <w:p>
      <w:pPr>
        <w:pStyle w:val="FirstParagraph"/>
      </w:pPr>
      <w:r>
        <w:t xml:space="preserve">Apache Kafka</w:t>
      </w:r>
    </w:p>
    <w:p>
      <w:pPr>
        <w:pStyle w:val="BodyText"/>
      </w:pPr>
      <w:r>
        <w:t xml:space="preserve">Deployment:</w:t>
      </w:r>
    </w:p>
    <w:p>
      <w:pPr>
        <w:pStyle w:val="BodyText"/>
      </w:pPr>
      <w:r>
        <w:t xml:space="preserve">Docker Container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Event-driven communication.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PortfolioCreated</w:t>
      </w:r>
    </w:p>
    <w:p>
      <w:pPr>
        <w:pStyle w:val="BodyText"/>
      </w:pPr>
      <w:r>
        <w:t xml:space="preserve">TransactionCreated</w:t>
      </w:r>
    </w:p>
    <w:p>
      <w:pPr>
        <w:pStyle w:val="BodyText"/>
      </w:pPr>
      <w:r>
        <w:t xml:space="preserve">RiskThresholdExceeded</w:t>
      </w:r>
    </w:p>
    <w:p>
      <w:pPr>
        <w:pStyle w:val="BodyText"/>
      </w:pPr>
      <w:r>
        <w:t xml:space="preserve">ReportGenerated</w:t>
      </w:r>
    </w:p>
    <w:p>
      <w:r>
        <w:pict>
          <v:rect style="width:0;height:1.5pt" o:hralign="center" o:hrstd="t" o:hr="t"/>
        </w:pict>
      </w:r>
    </w:p>
    <w:bookmarkEnd w:id="30"/>
    <w:bookmarkStart w:id="31" w:name="object-storage"/>
    <w:p>
      <w:pPr>
        <w:pStyle w:val="Heading2"/>
      </w:pPr>
      <w:r>
        <w:t xml:space="preserve">Object Storage</w:t>
      </w:r>
    </w:p>
    <w:p>
      <w:pPr>
        <w:pStyle w:val="FirstParagraph"/>
      </w:pPr>
      <w:r>
        <w:t xml:space="preserve">MinIO</w:t>
      </w:r>
    </w:p>
    <w:p>
      <w:pPr>
        <w:pStyle w:val="BodyText"/>
      </w:pPr>
      <w:r>
        <w:t xml:space="preserve">Deployment:</w:t>
      </w:r>
    </w:p>
    <w:p>
      <w:pPr>
        <w:pStyle w:val="BodyText"/>
      </w:pPr>
      <w:r>
        <w:t xml:space="preserve">Docker Container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Local replacement for Amazon S3.</w:t>
      </w:r>
    </w:p>
    <w:p>
      <w:pPr>
        <w:pStyle w:val="BodyText"/>
      </w:pPr>
      <w:r>
        <w:t xml:space="preserve">Used for:</w:t>
      </w:r>
    </w:p>
    <w:p>
      <w:pPr>
        <w:pStyle w:val="BodyText"/>
      </w:pPr>
      <w:r>
        <w:t xml:space="preserve">Report Storage</w:t>
      </w:r>
    </w:p>
    <w:p>
      <w:pPr>
        <w:pStyle w:val="BodyText"/>
      </w:pPr>
      <w:r>
        <w:t xml:space="preserve">Export Storage</w:t>
      </w:r>
    </w:p>
    <w:p>
      <w:pPr>
        <w:pStyle w:val="BodyText"/>
      </w:pPr>
      <w:r>
        <w:t xml:space="preserve">Document Storage</w:t>
      </w:r>
    </w:p>
    <w:p>
      <w:pPr>
        <w:pStyle w:val="BodyText"/>
      </w:pPr>
      <w:r>
        <w:t xml:space="preserve">Future Attachments</w:t>
      </w:r>
    </w:p>
    <w:p>
      <w:r>
        <w:pict>
          <v:rect style="width:0;height:1.5pt" o:hralign="center" o:hrstd="t" o:hr="t"/>
        </w:pict>
      </w:r>
    </w:p>
    <w:bookmarkEnd w:id="31"/>
    <w:bookmarkStart w:id="32" w:name="monitoring"/>
    <w:p>
      <w:pPr>
        <w:pStyle w:val="Heading2"/>
      </w:pPr>
      <w:r>
        <w:t xml:space="preserve">Monitoring</w:t>
      </w:r>
    </w:p>
    <w:p>
      <w:pPr>
        <w:pStyle w:val="FirstParagraph"/>
      </w:pPr>
      <w:r>
        <w:t xml:space="preserve">Prometheus</w:t>
      </w:r>
    </w:p>
    <w:p>
      <w:pPr>
        <w:pStyle w:val="BodyText"/>
      </w:pPr>
      <w:r>
        <w:t xml:space="preserve">Deployment:</w:t>
      </w:r>
    </w:p>
    <w:p>
      <w:pPr>
        <w:pStyle w:val="BodyText"/>
      </w:pPr>
      <w:r>
        <w:t xml:space="preserve">Docker Container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Metrics collection.</w:t>
      </w:r>
    </w:p>
    <w:p>
      <w:r>
        <w:pict>
          <v:rect style="width:0;height:1.5pt" o:hralign="center" o:hrstd="t" o:hr="t"/>
        </w:pict>
      </w:r>
    </w:p>
    <w:bookmarkEnd w:id="32"/>
    <w:bookmarkStart w:id="33" w:name="visualization"/>
    <w:p>
      <w:pPr>
        <w:pStyle w:val="Heading2"/>
      </w:pPr>
      <w:r>
        <w:t xml:space="preserve">Visualization</w:t>
      </w:r>
    </w:p>
    <w:p>
      <w:pPr>
        <w:pStyle w:val="FirstParagraph"/>
      </w:pPr>
      <w:r>
        <w:t xml:space="preserve">Grafana</w:t>
      </w:r>
    </w:p>
    <w:p>
      <w:pPr>
        <w:pStyle w:val="BodyText"/>
      </w:pPr>
      <w:r>
        <w:t xml:space="preserve">Deployment:</w:t>
      </w:r>
    </w:p>
    <w:p>
      <w:pPr>
        <w:pStyle w:val="BodyText"/>
      </w:pPr>
      <w:r>
        <w:t xml:space="preserve">Docker Container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Monitoring dashboards.</w:t>
      </w:r>
    </w:p>
    <w:p>
      <w:r>
        <w:pict>
          <v:rect style="width:0;height:1.5pt" o:hralign="center" o:hrstd="t" o:hr="t"/>
        </w:pict>
      </w:r>
    </w:p>
    <w:bookmarkEnd w:id="33"/>
    <w:bookmarkStart w:id="34" w:name="logging"/>
    <w:p>
      <w:pPr>
        <w:pStyle w:val="Heading2"/>
      </w:pPr>
      <w:r>
        <w:t xml:space="preserve">Logging</w:t>
      </w:r>
    </w:p>
    <w:p>
      <w:pPr>
        <w:pStyle w:val="FirstParagraph"/>
      </w:pPr>
      <w:r>
        <w:t xml:space="preserve">ELK-Compatible Logging</w:t>
      </w:r>
    </w:p>
    <w:p>
      <w:pPr>
        <w:pStyle w:val="BodyText"/>
      </w:pPr>
      <w:r>
        <w:t xml:space="preserve">Components:</w:t>
      </w:r>
    </w:p>
    <w:p>
      <w:pPr>
        <w:pStyle w:val="BodyText"/>
      </w:pPr>
      <w:r>
        <w:t xml:space="preserve">Logback</w:t>
      </w:r>
    </w:p>
    <w:p>
      <w:pPr>
        <w:pStyle w:val="BodyText"/>
      </w:pPr>
      <w:r>
        <w:t xml:space="preserve">Structured JSON Logging</w:t>
      </w:r>
    </w:p>
    <w:p>
      <w:pPr>
        <w:pStyle w:val="BodyText"/>
      </w:pPr>
      <w:r>
        <w:t xml:space="preserve">Optional:</w:t>
      </w:r>
    </w:p>
    <w:p>
      <w:pPr>
        <w:pStyle w:val="BodyText"/>
      </w:pPr>
      <w:r>
        <w:t xml:space="preserve">Elasticsearch</w:t>
      </w:r>
    </w:p>
    <w:p>
      <w:pPr>
        <w:pStyle w:val="BodyText"/>
      </w:pPr>
      <w:r>
        <w:t xml:space="preserve">Kibana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nterprise-deployment-mapping"/>
    <w:p>
      <w:pPr>
        <w:pStyle w:val="Heading1"/>
      </w:pPr>
      <w:r>
        <w:t xml:space="preserve">Enterprise Deployment Mapping</w:t>
      </w:r>
    </w:p>
    <w:p>
      <w:pPr>
        <w:pStyle w:val="FirstParagraph"/>
      </w:pPr>
      <w:r>
        <w:t xml:space="preserve">The system architecture shall maintain compatibility with AWS services.</w:t>
      </w:r>
    </w:p>
    <w:p>
      <w:pPr>
        <w:pStyle w:val="BodyText"/>
      </w:pPr>
      <w:r>
        <w:t xml:space="preserve">This allows future migration without application redesign.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Local Development</w:t>
            </w:r>
          </w:p>
        </w:tc>
        <w:tc>
          <w:tcPr/>
          <w:p>
            <w:pPr>
              <w:pStyle w:val="Compact"/>
            </w:pPr>
            <w:r>
              <w:t xml:space="preserve">Enterprise AWS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Amazon RDS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Amazon ElastiCache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Amazon MSK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Amazon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ECS / 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CloudWatch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CloudWatch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Secrets</w:t>
            </w:r>
          </w:p>
        </w:tc>
        <w:tc>
          <w:tcPr/>
          <w:p>
            <w:pPr>
              <w:pStyle w:val="Compact"/>
            </w:pPr>
            <w:r>
              <w:t xml:space="preserve">AWS Secrets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Application Load Balancer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cloud-migration-strategy"/>
    <w:p>
      <w:pPr>
        <w:pStyle w:val="Heading1"/>
      </w:pPr>
      <w:r>
        <w:t xml:space="preserve">Cloud Migration Strategy</w:t>
      </w:r>
    </w:p>
    <w:p>
      <w:pPr>
        <w:pStyle w:val="FirstParagraph"/>
      </w:pPr>
      <w:r>
        <w:t xml:space="preserve">PortSight shall support deployment into AWS environments if credits become available.</w:t>
      </w:r>
    </w:p>
    <w:p>
      <w:pPr>
        <w:pStyle w:val="BodyText"/>
      </w:pPr>
      <w:r>
        <w:t xml:space="preserve">No application code changes should be required.</w:t>
      </w:r>
    </w:p>
    <w:p>
      <w:pPr>
        <w:pStyle w:val="BodyText"/>
      </w:pPr>
      <w:r>
        <w:t xml:space="preserve">Only infrastructure configuration changes shall be necessary.</w:t>
      </w:r>
    </w:p>
    <w:p>
      <w:pPr>
        <w:pStyle w:val="BodyText"/>
      </w:pPr>
      <w:r>
        <w:t xml:space="preserve">Migration Path:</w:t>
      </w:r>
    </w:p>
    <w:p>
      <w:pPr>
        <w:pStyle w:val="BodyText"/>
      </w:pPr>
      <w:r>
        <w:t xml:space="preserve">Phase 1</w:t>
      </w:r>
    </w:p>
    <w:p>
      <w:pPr>
        <w:pStyle w:val="BodyText"/>
      </w:pPr>
      <w:r>
        <w:t xml:space="preserve">Local Docker Deployment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2</w:t>
      </w:r>
    </w:p>
    <w:p>
      <w:pPr>
        <w:pStyle w:val="BodyText"/>
      </w:pPr>
      <w:r>
        <w:t xml:space="preserve">AWS Deployment Using Credits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3</w:t>
      </w:r>
    </w:p>
    <w:p>
      <w:pPr>
        <w:pStyle w:val="BodyText"/>
      </w:pPr>
      <w:r>
        <w:t xml:space="preserve">Production Cloud Architecture</w:t>
      </w:r>
    </w:p>
    <w:p>
      <w:r>
        <w:pict>
          <v:rect style="width:0;height:1.5pt" o:hralign="center" o:hrstd="t" o:hr="t"/>
        </w:pict>
      </w:r>
    </w:p>
    <w:bookmarkEnd w:id="37"/>
    <w:bookmarkStart w:id="38" w:name="aws-credit-utilization-policy"/>
    <w:p>
      <w:pPr>
        <w:pStyle w:val="Heading1"/>
      </w:pPr>
      <w:r>
        <w:t xml:space="preserve">AWS Credit Utilization Policy</w:t>
      </w:r>
    </w:p>
    <w:p>
      <w:pPr>
        <w:pStyle w:val="FirstParagraph"/>
      </w:pPr>
      <w:r>
        <w:t xml:space="preserve">The project shall not depend on AWS credits.</w:t>
      </w:r>
    </w:p>
    <w:p>
      <w:pPr>
        <w:pStyle w:val="BodyText"/>
      </w:pPr>
      <w:r>
        <w:t xml:space="preserve">AWS credits shall be treated as optional enhancements.</w:t>
      </w:r>
    </w:p>
    <w:p>
      <w:pPr>
        <w:pStyle w:val="BodyText"/>
      </w:pPr>
      <w:r>
        <w:t xml:space="preserve">If AWS credits become available:</w:t>
      </w:r>
    </w:p>
    <w:p>
      <w:pPr>
        <w:pStyle w:val="BodyText"/>
      </w:pPr>
      <w:r>
        <w:t xml:space="preserve">Approved Services:</w:t>
      </w:r>
    </w:p>
    <w:p>
      <w:pPr>
        <w:pStyle w:val="Compact"/>
        <w:numPr>
          <w:ilvl w:val="0"/>
          <w:numId w:val="1002"/>
        </w:numPr>
      </w:pPr>
      <w:r>
        <w:t xml:space="preserve">ECS Fargate</w:t>
      </w:r>
    </w:p>
    <w:p>
      <w:pPr>
        <w:pStyle w:val="Compact"/>
        <w:numPr>
          <w:ilvl w:val="0"/>
          <w:numId w:val="1002"/>
        </w:numPr>
      </w:pPr>
      <w:r>
        <w:t xml:space="preserve">RDS PostgreSQL</w:t>
      </w:r>
    </w:p>
    <w:p>
      <w:pPr>
        <w:pStyle w:val="Compact"/>
        <w:numPr>
          <w:ilvl w:val="0"/>
          <w:numId w:val="1002"/>
        </w:numPr>
      </w:pPr>
      <w:r>
        <w:t xml:space="preserve">ElastiCache Redis</w:t>
      </w:r>
    </w:p>
    <w:p>
      <w:pPr>
        <w:pStyle w:val="Compact"/>
        <w:numPr>
          <w:ilvl w:val="0"/>
          <w:numId w:val="1002"/>
        </w:numPr>
      </w:pPr>
      <w:r>
        <w:t xml:space="preserve">S3</w:t>
      </w:r>
    </w:p>
    <w:p>
      <w:pPr>
        <w:pStyle w:val="Compact"/>
        <w:numPr>
          <w:ilvl w:val="0"/>
          <w:numId w:val="1002"/>
        </w:numPr>
      </w:pPr>
      <w:r>
        <w:t xml:space="preserve">CloudFront</w:t>
      </w:r>
    </w:p>
    <w:p>
      <w:pPr>
        <w:pStyle w:val="Compact"/>
        <w:numPr>
          <w:ilvl w:val="0"/>
          <w:numId w:val="1002"/>
        </w:numPr>
      </w:pPr>
      <w:r>
        <w:t xml:space="preserve">CloudWatch</w:t>
      </w:r>
    </w:p>
    <w:p>
      <w:pPr>
        <w:pStyle w:val="Compact"/>
        <w:numPr>
          <w:ilvl w:val="0"/>
          <w:numId w:val="1002"/>
        </w:numPr>
      </w:pPr>
      <w:r>
        <w:t xml:space="preserve">Secrets Manager</w:t>
      </w:r>
    </w:p>
    <w:p>
      <w:pPr>
        <w:pStyle w:val="FirstParagraph"/>
      </w:pPr>
      <w:r>
        <w:t xml:space="preserve">The platform must remain fully operational without these services.</w:t>
      </w:r>
    </w:p>
    <w:p>
      <w:r>
        <w:pict>
          <v:rect style="width:0;height:1.5pt" o:hralign="center" o:hrstd="t" o:hr="t"/>
        </w:pict>
      </w:r>
    </w:p>
    <w:bookmarkEnd w:id="38"/>
    <w:bookmarkStart w:id="39" w:name="cost-constraints"/>
    <w:p>
      <w:pPr>
        <w:pStyle w:val="Heading1"/>
      </w:pPr>
      <w:r>
        <w:t xml:space="preserve">Cost Constraints</w:t>
      </w:r>
    </w:p>
    <w:p>
      <w:pPr>
        <w:pStyle w:val="FirstParagraph"/>
      </w:pPr>
      <w:r>
        <w:t xml:space="preserve">Target Development Cost:</w:t>
      </w:r>
    </w:p>
    <w:p>
      <w:pPr>
        <w:pStyle w:val="BodyText"/>
      </w:pPr>
      <w:r>
        <w:t xml:space="preserve">₹0</w:t>
      </w:r>
    </w:p>
    <w:p>
      <w:pPr>
        <w:pStyle w:val="BodyText"/>
      </w:pPr>
      <w:r>
        <w:t xml:space="preserve">Monthly Infrastructure Cost:</w:t>
      </w:r>
    </w:p>
    <w:p>
      <w:pPr>
        <w:pStyle w:val="BodyText"/>
      </w:pPr>
      <w:r>
        <w:t xml:space="preserve">₹0</w:t>
      </w:r>
    </w:p>
    <w:p>
      <w:pPr>
        <w:pStyle w:val="BodyText"/>
      </w:pPr>
      <w:r>
        <w:t xml:space="preserve">External API Cost:</w:t>
      </w:r>
    </w:p>
    <w:p>
      <w:pPr>
        <w:pStyle w:val="BodyText"/>
      </w:pPr>
      <w:r>
        <w:t xml:space="preserve">₹0</w:t>
      </w:r>
    </w:p>
    <w:p>
      <w:pPr>
        <w:pStyle w:val="BodyText"/>
      </w:pPr>
      <w:r>
        <w:t xml:space="preserve">Market Data Cost:</w:t>
      </w:r>
    </w:p>
    <w:p>
      <w:pPr>
        <w:pStyle w:val="BodyText"/>
      </w:pPr>
      <w:r>
        <w:t xml:space="preserve">₹0</w:t>
      </w:r>
    </w:p>
    <w:p>
      <w:pPr>
        <w:pStyle w:val="BodyText"/>
      </w:pPr>
      <w:r>
        <w:t xml:space="preserve">Monitoring Cost:</w:t>
      </w:r>
    </w:p>
    <w:p>
      <w:pPr>
        <w:pStyle w:val="BodyText"/>
      </w:pPr>
      <w:r>
        <w:t xml:space="preserve">₹0</w:t>
      </w:r>
    </w:p>
    <w:p>
      <w:pPr>
        <w:pStyle w:val="BodyText"/>
      </w:pPr>
      <w:r>
        <w:t xml:space="preserve">CI/CD Cost:</w:t>
      </w:r>
    </w:p>
    <w:p>
      <w:pPr>
        <w:pStyle w:val="BodyText"/>
      </w:pPr>
      <w:r>
        <w:t xml:space="preserve">₹0</w:t>
      </w:r>
    </w:p>
    <w:p>
      <w:pPr>
        <w:pStyle w:val="BodyText"/>
      </w:pPr>
      <w:r>
        <w:t xml:space="preserve">Testing Cost:</w:t>
      </w:r>
    </w:p>
    <w:p>
      <w:pPr>
        <w:pStyle w:val="BodyText"/>
      </w:pPr>
      <w:r>
        <w:t xml:space="preserve">₹0</w:t>
      </w:r>
    </w:p>
    <w:p>
      <w:r>
        <w:pict>
          <v:rect style="width:0;height:1.5pt" o:hralign="center" o:hrstd="t" o:hr="t"/>
        </w:pict>
      </w:r>
    </w:p>
    <w:bookmarkEnd w:id="39"/>
    <w:bookmarkStart w:id="40" w:name="market-data-strategy"/>
    <w:p>
      <w:pPr>
        <w:pStyle w:val="Heading1"/>
      </w:pPr>
      <w:r>
        <w:t xml:space="preserve">Market Data Strategy</w:t>
      </w:r>
    </w:p>
    <w:p>
      <w:pPr>
        <w:pStyle w:val="FirstParagraph"/>
      </w:pPr>
      <w:r>
        <w:t xml:space="preserve">The platform shall not rely on external market data providers.</w:t>
      </w:r>
    </w:p>
    <w:p>
      <w:pPr>
        <w:pStyle w:val="BodyText"/>
      </w:pPr>
      <w:r>
        <w:t xml:space="preserve">No paid financial APIs shall be required.</w:t>
      </w:r>
    </w:p>
    <w:p>
      <w:pPr>
        <w:pStyle w:val="BodyText"/>
      </w:pPr>
      <w:r>
        <w:t xml:space="preserve">No Bloomberg, Reuters, Polygon, AlphaVantage, or commercial feeds shall be mandatory.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PortSight shall implement a Market Simulation Engine.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Generate assets</w:t>
      </w:r>
    </w:p>
    <w:p>
      <w:pPr>
        <w:pStyle w:val="Compact"/>
        <w:numPr>
          <w:ilvl w:val="0"/>
          <w:numId w:val="1003"/>
        </w:numPr>
      </w:pPr>
      <w:r>
        <w:t xml:space="preserve">Generate market cycles</w:t>
      </w:r>
    </w:p>
    <w:p>
      <w:pPr>
        <w:pStyle w:val="Compact"/>
        <w:numPr>
          <w:ilvl w:val="0"/>
          <w:numId w:val="1003"/>
        </w:numPr>
      </w:pPr>
      <w:r>
        <w:t xml:space="preserve">Generate price movements</w:t>
      </w:r>
    </w:p>
    <w:p>
      <w:pPr>
        <w:pStyle w:val="Compact"/>
        <w:numPr>
          <w:ilvl w:val="0"/>
          <w:numId w:val="1003"/>
        </w:numPr>
      </w:pPr>
      <w:r>
        <w:t xml:space="preserve">Generate volatility patterns</w:t>
      </w:r>
    </w:p>
    <w:p>
      <w:pPr>
        <w:pStyle w:val="Compact"/>
        <w:numPr>
          <w:ilvl w:val="0"/>
          <w:numId w:val="1003"/>
        </w:numPr>
      </w:pPr>
      <w:r>
        <w:t xml:space="preserve">Generate benchmark indices</w:t>
      </w:r>
    </w:p>
    <w:p>
      <w:pPr>
        <w:pStyle w:val="FirstParagraph"/>
      </w:pPr>
      <w:r>
        <w:t xml:space="preserve">This approach provides:</w:t>
      </w:r>
    </w:p>
    <w:p>
      <w:pPr>
        <w:pStyle w:val="Compact"/>
        <w:numPr>
          <w:ilvl w:val="0"/>
          <w:numId w:val="1004"/>
        </w:numPr>
      </w:pPr>
      <w:r>
        <w:t xml:space="preserve">Complete testing control</w:t>
      </w:r>
    </w:p>
    <w:p>
      <w:pPr>
        <w:pStyle w:val="Compact"/>
        <w:numPr>
          <w:ilvl w:val="0"/>
          <w:numId w:val="1004"/>
        </w:numPr>
      </w:pPr>
      <w:r>
        <w:t xml:space="preserve">Reproducible datasets</w:t>
      </w:r>
    </w:p>
    <w:p>
      <w:pPr>
        <w:pStyle w:val="Compact"/>
        <w:numPr>
          <w:ilvl w:val="0"/>
          <w:numId w:val="1004"/>
        </w:numPr>
      </w:pPr>
      <w:r>
        <w:t xml:space="preserve">No API limitations</w:t>
      </w:r>
    </w:p>
    <w:p>
      <w:pPr>
        <w:pStyle w:val="Compact"/>
        <w:numPr>
          <w:ilvl w:val="0"/>
          <w:numId w:val="1004"/>
        </w:numPr>
      </w:pPr>
      <w:r>
        <w:t xml:space="preserve">No vendor lock-in</w:t>
      </w:r>
    </w:p>
    <w:p>
      <w:r>
        <w:pict>
          <v:rect style="width:0;height:1.5pt" o:hralign="center" o:hrstd="t" o:hr="t"/>
        </w:pict>
      </w:r>
    </w:p>
    <w:bookmarkEnd w:id="40"/>
    <w:bookmarkStart w:id="41" w:name="cicd-strategy"/>
    <w:p>
      <w:pPr>
        <w:pStyle w:val="Heading1"/>
      </w:pPr>
      <w:r>
        <w:t xml:space="preserve">CI/CD Strategy</w:t>
      </w:r>
    </w:p>
    <w:p>
      <w:pPr>
        <w:pStyle w:val="FirstParagraph"/>
      </w:pPr>
      <w:r>
        <w:t xml:space="preserve">All CI/CD processes shall operate using free tooling.</w:t>
      </w:r>
    </w:p>
    <w:p>
      <w:pPr>
        <w:pStyle w:val="BodyText"/>
      </w:pPr>
      <w:r>
        <w:t xml:space="preserve">Source Control:</w:t>
      </w:r>
    </w:p>
    <w:p>
      <w:pPr>
        <w:pStyle w:val="BodyText"/>
      </w:pPr>
      <w:r>
        <w:t xml:space="preserve">GitHub</w:t>
      </w:r>
    </w:p>
    <w:p>
      <w:pPr>
        <w:pStyle w:val="BodyText"/>
      </w:pPr>
      <w:r>
        <w:t xml:space="preserve">Pipeline:</w:t>
      </w:r>
    </w:p>
    <w:p>
      <w:pPr>
        <w:pStyle w:val="BodyText"/>
      </w:pPr>
      <w:r>
        <w:t xml:space="preserve">GitHub Actions</w:t>
      </w:r>
    </w:p>
    <w:p>
      <w:pPr>
        <w:pStyle w:val="BodyText"/>
      </w:pPr>
      <w:r>
        <w:t xml:space="preserve">Artifacts:</w:t>
      </w:r>
    </w:p>
    <w:p>
      <w:pPr>
        <w:pStyle w:val="BodyText"/>
      </w:pPr>
      <w:r>
        <w:t xml:space="preserve">Docker Images</w:t>
      </w:r>
    </w:p>
    <w:p>
      <w:pPr>
        <w:pStyle w:val="BodyText"/>
      </w:pPr>
      <w:r>
        <w:t xml:space="preserve">Container Registry:</w:t>
      </w:r>
    </w:p>
    <w:p>
      <w:pPr>
        <w:pStyle w:val="BodyText"/>
      </w:pPr>
      <w:r>
        <w:t xml:space="preserve">GitHub Container Registry</w:t>
      </w:r>
    </w:p>
    <w:p>
      <w:pPr>
        <w:pStyle w:val="BodyText"/>
      </w:pPr>
      <w:r>
        <w:t xml:space="preserve">No paid DevOps tooling shall be required.</w:t>
      </w:r>
    </w:p>
    <w:p>
      <w:r>
        <w:pict>
          <v:rect style="width:0;height:1.5pt" o:hralign="center" o:hrstd="t" o:hr="t"/>
        </w:pict>
      </w:r>
    </w:p>
    <w:bookmarkEnd w:id="41"/>
    <w:bookmarkStart w:id="42" w:name="architectural-principle"/>
    <w:p>
      <w:pPr>
        <w:pStyle w:val="Heading1"/>
      </w:pPr>
      <w:r>
        <w:t xml:space="preserve">Architectural Principle</w:t>
      </w:r>
    </w:p>
    <w:p>
      <w:pPr>
        <w:pStyle w:val="FirstParagraph"/>
      </w:pPr>
      <w:r>
        <w:t xml:space="preserve">PortSight Analytics shall be developed using enterprise architecture patterns regardless of deployment cost.</w:t>
      </w:r>
    </w:p>
    <w:p>
      <w:pPr>
        <w:pStyle w:val="BodyText"/>
      </w:pPr>
      <w:r>
        <w:t xml:space="preserve">Engineering decisions shall prioritize:</w:t>
      </w:r>
    </w:p>
    <w:p>
      <w:pPr>
        <w:pStyle w:val="Compact"/>
        <w:numPr>
          <w:ilvl w:val="0"/>
          <w:numId w:val="1005"/>
        </w:numPr>
      </w:pPr>
      <w:r>
        <w:t xml:space="preserve">Scalability</w:t>
      </w:r>
    </w:p>
    <w:p>
      <w:pPr>
        <w:pStyle w:val="Compact"/>
        <w:numPr>
          <w:ilvl w:val="0"/>
          <w:numId w:val="1005"/>
        </w:numPr>
      </w:pPr>
      <w:r>
        <w:t xml:space="preserve">Maintainability</w:t>
      </w:r>
    </w:p>
    <w:p>
      <w:pPr>
        <w:pStyle w:val="Compact"/>
        <w:numPr>
          <w:ilvl w:val="0"/>
          <w:numId w:val="1005"/>
        </w:numPr>
      </w:pPr>
      <w:r>
        <w:t xml:space="preserve">Observability</w:t>
      </w:r>
    </w:p>
    <w:p>
      <w:pPr>
        <w:pStyle w:val="Compact"/>
        <w:numPr>
          <w:ilvl w:val="0"/>
          <w:numId w:val="1005"/>
        </w:numPr>
      </w:pPr>
      <w:r>
        <w:t xml:space="preserve">Security</w:t>
      </w:r>
    </w:p>
    <w:p>
      <w:pPr>
        <w:pStyle w:val="Compact"/>
        <w:numPr>
          <w:ilvl w:val="0"/>
          <w:numId w:val="1005"/>
        </w:numPr>
      </w:pPr>
      <w:r>
        <w:t xml:space="preserve">Testability</w:t>
      </w:r>
    </w:p>
    <w:p>
      <w:pPr>
        <w:pStyle w:val="FirstParagraph"/>
      </w:pPr>
      <w:r>
        <w:t xml:space="preserve">rather than cloud expenditure.</w:t>
      </w:r>
    </w:p>
    <w:p>
      <w:pPr>
        <w:pStyle w:val="BodyText"/>
      </w:pPr>
      <w:r>
        <w:t xml:space="preserve">The system should be capable of operating as:</w:t>
      </w:r>
    </w:p>
    <w:p>
      <w:pPr>
        <w:numPr>
          <w:ilvl w:val="0"/>
          <w:numId w:val="1006"/>
        </w:numPr>
      </w:pPr>
      <w:r>
        <w:t xml:space="preserve">A fully local developer environment.</w:t>
      </w:r>
    </w:p>
    <w:p>
      <w:pPr>
        <w:numPr>
          <w:ilvl w:val="0"/>
          <w:numId w:val="1006"/>
        </w:numPr>
      </w:pPr>
      <w:r>
        <w:t xml:space="preserve">A cloud-hosted demonstration environment.</w:t>
      </w:r>
    </w:p>
    <w:p>
      <w:pPr>
        <w:numPr>
          <w:ilvl w:val="0"/>
          <w:numId w:val="1006"/>
        </w:numPr>
      </w:pPr>
      <w:r>
        <w:t xml:space="preserve">A production-grade enterprise deployment.</w:t>
      </w:r>
    </w:p>
    <w:p>
      <w:pPr>
        <w:pStyle w:val="FirstParagraph"/>
      </w:pPr>
      <w:r>
        <w:t xml:space="preserve">without architectural redesign.</w:t>
      </w:r>
    </w:p>
    <w:p>
      <w:pPr>
        <w:pStyle w:val="BodyText"/>
      </w:pPr>
      <w:r>
        <w:t xml:space="preserve">End of Addendum.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2026-06-02T05:27:33Z</dcterms:created>
  <dcterms:modified xsi:type="dcterms:W3CDTF">2026-06-02T05:27:33Z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