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2" w:name="portsight-analytics"/>
    <w:p>
      <w:pPr>
        <w:pStyle w:val="Heading1"/>
      </w:pPr>
      <w:r>
        <w:t xml:space="preserve">PortSight Analytics</w:t>
      </w:r>
    </w:p>
    <w:bookmarkStart w:id="21" w:name="low-level-design-lld-part-3"/>
    <w:p>
      <w:pPr>
        <w:pStyle w:val="Heading2"/>
      </w:pPr>
      <w:r>
        <w:t xml:space="preserve">Low Level Design (LLD) – Part 3</w:t>
      </w:r>
    </w:p>
    <w:bookmarkStart w:id="20" w:name="Xe8c02ea421de134e013b93ca0050f646271c4be"/>
    <w:p>
      <w:pPr>
        <w:pStyle w:val="Heading3"/>
      </w:pPr>
      <w:r>
        <w:t xml:space="preserve">Financial Engine Design &amp; Quantitative Analytics</w:t>
      </w:r>
    </w:p>
    <w:p>
      <w:pPr>
        <w:pStyle w:val="FirstParagraph"/>
      </w:pPr>
      <w:r>
        <w:t xml:space="preserve">Version: 1.0</w:t>
      </w:r>
    </w:p>
    <w:p>
      <w:pPr>
        <w:pStyle w:val="BodyText"/>
      </w:pPr>
      <w:r>
        <w:t xml:space="preserve">Classification:</w:t>
      </w:r>
      <w:r>
        <w:t xml:space="preserve"> </w:t>
      </w:r>
      <w:r>
        <w:t xml:space="preserve">Internal Engineering Design</w:t>
      </w:r>
    </w:p>
    <w:p>
      <w:r>
        <w:pict>
          <v:rect style="width:0;height:1.5pt" o:hralign="center" o:hrstd="t" o:hr="t"/>
        </w:pict>
      </w:r>
    </w:p>
    <w:bookmarkEnd w:id="20"/>
    <w:bookmarkEnd w:id="21"/>
    <w:bookmarkEnd w:id="22"/>
    <w:bookmarkStart w:id="23" w:name="purpose"/>
    <w:p>
      <w:pPr>
        <w:pStyle w:val="Heading1"/>
      </w:pPr>
      <w:r>
        <w:t xml:space="preserve">1. Purpose</w:t>
      </w:r>
    </w:p>
    <w:p>
      <w:pPr>
        <w:pStyle w:val="FirstParagraph"/>
      </w:pPr>
      <w:r>
        <w:t xml:space="preserve">This document defines the financial and analytical engines used by PortSight Analytics.</w:t>
      </w:r>
    </w:p>
    <w:p>
      <w:pPr>
        <w:pStyle w:val="BodyText"/>
      </w:pPr>
      <w:r>
        <w:t xml:space="preserve">These engines provide:</w:t>
      </w:r>
    </w:p>
    <w:p>
      <w:pPr>
        <w:pStyle w:val="Compact"/>
        <w:numPr>
          <w:ilvl w:val="0"/>
          <w:numId w:val="1001"/>
        </w:numPr>
      </w:pPr>
      <w:r>
        <w:t xml:space="preserve">Portfolio valuation</w:t>
      </w:r>
    </w:p>
    <w:p>
      <w:pPr>
        <w:pStyle w:val="Compact"/>
        <w:numPr>
          <w:ilvl w:val="0"/>
          <w:numId w:val="1001"/>
        </w:numPr>
      </w:pPr>
      <w:r>
        <w:t xml:space="preserve">Risk measurement</w:t>
      </w:r>
    </w:p>
    <w:p>
      <w:pPr>
        <w:pStyle w:val="Compact"/>
        <w:numPr>
          <w:ilvl w:val="0"/>
          <w:numId w:val="1001"/>
        </w:numPr>
      </w:pPr>
      <w:r>
        <w:t xml:space="preserve">Portfolio analytics</w:t>
      </w:r>
    </w:p>
    <w:p>
      <w:pPr>
        <w:pStyle w:val="Compact"/>
        <w:numPr>
          <w:ilvl w:val="0"/>
          <w:numId w:val="1001"/>
        </w:numPr>
      </w:pPr>
      <w:r>
        <w:t xml:space="preserve">Stress testing</w:t>
      </w:r>
    </w:p>
    <w:p>
      <w:pPr>
        <w:pStyle w:val="Compact"/>
        <w:numPr>
          <w:ilvl w:val="0"/>
          <w:numId w:val="1001"/>
        </w:numPr>
      </w:pPr>
      <w:r>
        <w:t xml:space="preserve">Portfolio rebalancing</w:t>
      </w:r>
    </w:p>
    <w:p>
      <w:pPr>
        <w:pStyle w:val="Compact"/>
        <w:numPr>
          <w:ilvl w:val="0"/>
          <w:numId w:val="1001"/>
        </w:numPr>
      </w:pPr>
      <w:r>
        <w:t xml:space="preserve">Market simulation</w:t>
      </w:r>
    </w:p>
    <w:p>
      <w:pPr>
        <w:pStyle w:val="FirstParagraph"/>
      </w:pPr>
      <w:r>
        <w:t xml:space="preserve">The objective is not financial accuracy at Bloomberg or institutional trading system levels.</w:t>
      </w:r>
    </w:p>
    <w:p>
      <w:pPr>
        <w:pStyle w:val="BodyText"/>
      </w:pPr>
      <w:r>
        <w:t xml:space="preserve">The objective is to provide realistic and explainable financial analytics using simulated market data.</w:t>
      </w:r>
    </w:p>
    <w:p>
      <w:r>
        <w:pict>
          <v:rect style="width:0;height:1.5pt" o:hralign="center" o:hrstd="t" o:hr="t"/>
        </w:pict>
      </w:r>
    </w:p>
    <w:bookmarkEnd w:id="23"/>
    <w:bookmarkStart w:id="24" w:name="financial-engine-architecture"/>
    <w:p>
      <w:pPr>
        <w:pStyle w:val="Heading1"/>
      </w:pPr>
      <w:r>
        <w:t xml:space="preserve">2. Financial Engine Architecture</w:t>
      </w:r>
    </w:p>
    <w:p>
      <w:pPr>
        <w:pStyle w:val="FirstParagraph"/>
      </w:pPr>
      <w:r>
        <w:t xml:space="preserve">Core Engines</w:t>
      </w:r>
    </w:p>
    <w:p>
      <w:pPr>
        <w:pStyle w:val="Compact"/>
        <w:numPr>
          <w:ilvl w:val="0"/>
          <w:numId w:val="1002"/>
        </w:numPr>
      </w:pPr>
      <w:r>
        <w:t xml:space="preserve">Market Simulation Engine</w:t>
      </w:r>
    </w:p>
    <w:p>
      <w:pPr>
        <w:pStyle w:val="Compact"/>
        <w:numPr>
          <w:ilvl w:val="0"/>
          <w:numId w:val="1002"/>
        </w:numPr>
      </w:pPr>
      <w:r>
        <w:t xml:space="preserve">Portfolio Valuation Engine</w:t>
      </w:r>
    </w:p>
    <w:p>
      <w:pPr>
        <w:pStyle w:val="Compact"/>
        <w:numPr>
          <w:ilvl w:val="0"/>
          <w:numId w:val="1002"/>
        </w:numPr>
      </w:pPr>
      <w:r>
        <w:t xml:space="preserve">Performance Analytics Engine</w:t>
      </w:r>
    </w:p>
    <w:p>
      <w:pPr>
        <w:pStyle w:val="Compact"/>
        <w:numPr>
          <w:ilvl w:val="0"/>
          <w:numId w:val="1002"/>
        </w:numPr>
      </w:pPr>
      <w:r>
        <w:t xml:space="preserve">Risk Analytics Engine</w:t>
      </w:r>
    </w:p>
    <w:p>
      <w:pPr>
        <w:pStyle w:val="Compact"/>
        <w:numPr>
          <w:ilvl w:val="0"/>
          <w:numId w:val="1002"/>
        </w:numPr>
      </w:pPr>
      <w:r>
        <w:t xml:space="preserve">Stress Testing Engine</w:t>
      </w:r>
    </w:p>
    <w:p>
      <w:pPr>
        <w:pStyle w:val="Compact"/>
        <w:numPr>
          <w:ilvl w:val="0"/>
          <w:numId w:val="1002"/>
        </w:numPr>
      </w:pPr>
      <w:r>
        <w:t xml:space="preserve">Rebalancing Engine</w:t>
      </w:r>
    </w:p>
    <w:p>
      <w:r>
        <w:pict>
          <v:rect style="width:0;height:1.5pt" o:hralign="center" o:hrstd="t" o:hr="t"/>
        </w:pict>
      </w:r>
    </w:p>
    <w:bookmarkEnd w:id="24"/>
    <w:bookmarkStart w:id="25" w:name="market-simulation-engine"/>
    <w:p>
      <w:pPr>
        <w:pStyle w:val="Heading1"/>
      </w:pPr>
      <w:r>
        <w:t xml:space="preserve">3. Market Simulation Engine</w:t>
      </w:r>
    </w:p>
    <w:p>
      <w:pPr>
        <w:pStyle w:val="FirstParagraph"/>
      </w:pPr>
      <w:r>
        <w:t xml:space="preserve">Purpose</w:t>
      </w:r>
    </w:p>
    <w:p>
      <w:pPr>
        <w:pStyle w:val="BodyText"/>
      </w:pPr>
      <w:r>
        <w:t xml:space="preserve">Generate realistic market behavior without external data providers.</w:t>
      </w:r>
    </w:p>
    <w:p>
      <w:r>
        <w:pict>
          <v:rect style="width:0;height:1.5pt" o:hralign="center" o:hrstd="t" o:hr="t"/>
        </w:pict>
      </w:r>
    </w:p>
    <w:bookmarkEnd w:id="25"/>
    <w:bookmarkStart w:id="26" w:name="asset-universe"/>
    <w:p>
      <w:pPr>
        <w:pStyle w:val="Heading1"/>
      </w:pPr>
      <w:r>
        <w:t xml:space="preserve">Asset Universe</w:t>
      </w:r>
    </w:p>
    <w:p>
      <w:pPr>
        <w:pStyle w:val="FirstParagraph"/>
      </w:pPr>
      <w:r>
        <w:t xml:space="preserve">The platform generates:</w:t>
      </w:r>
    </w:p>
    <w:p>
      <w:pPr>
        <w:pStyle w:val="BodyText"/>
      </w:pPr>
      <w:r>
        <w:t xml:space="preserve">50 Stocks</w:t>
      </w:r>
    </w:p>
    <w:p>
      <w:pPr>
        <w:pStyle w:val="BodyText"/>
      </w:pPr>
      <w:r>
        <w:t xml:space="preserve">10 ETFs</w:t>
      </w:r>
    </w:p>
    <w:p>
      <w:pPr>
        <w:pStyle w:val="BodyText"/>
      </w:pPr>
      <w:r>
        <w:t xml:space="preserve">5 Bonds</w:t>
      </w:r>
    </w:p>
    <w:p>
      <w:pPr>
        <w:pStyle w:val="BodyText"/>
      </w:pPr>
      <w:r>
        <w:t xml:space="preserve">3 Benchmarks</w:t>
      </w:r>
    </w:p>
    <w:p>
      <w:r>
        <w:pict>
          <v:rect style="width:0;height:1.5pt" o:hralign="center" o:hrstd="t" o:hr="t"/>
        </w:pict>
      </w:r>
    </w:p>
    <w:bookmarkEnd w:id="26"/>
    <w:bookmarkStart w:id="27" w:name="sector-allocation"/>
    <w:p>
      <w:pPr>
        <w:pStyle w:val="Heading1"/>
      </w:pPr>
      <w:r>
        <w:t xml:space="preserve">Sector Allocation</w:t>
      </w:r>
    </w:p>
    <w:p>
      <w:pPr>
        <w:pStyle w:val="FirstParagraph"/>
      </w:pPr>
      <w:r>
        <w:t xml:space="preserve">Technology</w:t>
      </w:r>
    </w:p>
    <w:p>
      <w:pPr>
        <w:pStyle w:val="BodyText"/>
      </w:pPr>
      <w:r>
        <w:t xml:space="preserve">Banking</w:t>
      </w:r>
    </w:p>
    <w:p>
      <w:pPr>
        <w:pStyle w:val="BodyText"/>
      </w:pPr>
      <w:r>
        <w:t xml:space="preserve">Healthcare</w:t>
      </w:r>
    </w:p>
    <w:p>
      <w:pPr>
        <w:pStyle w:val="BodyText"/>
      </w:pPr>
      <w:r>
        <w:t xml:space="preserve">Energy</w:t>
      </w:r>
    </w:p>
    <w:p>
      <w:pPr>
        <w:pStyle w:val="BodyText"/>
      </w:pPr>
      <w:r>
        <w:t xml:space="preserve">Consumer Goods</w:t>
      </w:r>
    </w:p>
    <w:p>
      <w:pPr>
        <w:pStyle w:val="BodyText"/>
      </w:pPr>
      <w:r>
        <w:t xml:space="preserve">Manufacturing</w:t>
      </w:r>
    </w:p>
    <w:p>
      <w:pPr>
        <w:pStyle w:val="BodyText"/>
      </w:pPr>
      <w:r>
        <w:t xml:space="preserve">Telecommunications</w:t>
      </w:r>
    </w:p>
    <w:p>
      <w:pPr>
        <w:pStyle w:val="BodyText"/>
      </w:pPr>
      <w:r>
        <w:t xml:space="preserve">Utilities</w:t>
      </w:r>
    </w:p>
    <w:p>
      <w:r>
        <w:pict>
          <v:rect style="width:0;height:1.5pt" o:hralign="center" o:hrstd="t" o:hr="t"/>
        </w:pict>
      </w:r>
    </w:p>
    <w:bookmarkEnd w:id="27"/>
    <w:bookmarkStart w:id="28" w:name="asset-attributes"/>
    <w:p>
      <w:pPr>
        <w:pStyle w:val="Heading1"/>
      </w:pPr>
      <w:r>
        <w:t xml:space="preserve">Asset Attributes</w:t>
      </w:r>
    </w:p>
    <w:p>
      <w:pPr>
        <w:pStyle w:val="FirstParagraph"/>
      </w:pPr>
      <w:r>
        <w:t xml:space="preserve">Each asset contains:</w:t>
      </w:r>
    </w:p>
    <w:p>
      <w:pPr>
        <w:pStyle w:val="BodyText"/>
      </w:pPr>
      <w:r>
        <w:t xml:space="preserve">Ticker</w:t>
      </w:r>
    </w:p>
    <w:p>
      <w:pPr>
        <w:pStyle w:val="BodyText"/>
      </w:pPr>
      <w:r>
        <w:t xml:space="preserve">Sector</w:t>
      </w:r>
    </w:p>
    <w:p>
      <w:pPr>
        <w:pStyle w:val="BodyText"/>
      </w:pPr>
      <w:r>
        <w:t xml:space="preserve">Industry</w:t>
      </w:r>
    </w:p>
    <w:p>
      <w:pPr>
        <w:pStyle w:val="BodyText"/>
      </w:pPr>
      <w:r>
        <w:t xml:space="preserve">Starting Price</w:t>
      </w:r>
    </w:p>
    <w:p>
      <w:pPr>
        <w:pStyle w:val="BodyText"/>
      </w:pPr>
      <w:r>
        <w:t xml:space="preserve">Volatility</w:t>
      </w:r>
    </w:p>
    <w:p>
      <w:pPr>
        <w:pStyle w:val="BodyText"/>
      </w:pPr>
      <w:r>
        <w:t xml:space="preserve">Beta</w:t>
      </w:r>
    </w:p>
    <w:p>
      <w:pPr>
        <w:pStyle w:val="BodyText"/>
      </w:pPr>
      <w:r>
        <w:t xml:space="preserve">Dividend Yield</w:t>
      </w:r>
    </w:p>
    <w:p>
      <w:pPr>
        <w:pStyle w:val="BodyText"/>
      </w:pPr>
      <w:r>
        <w:t xml:space="preserve">Market Capitalization Category</w:t>
      </w:r>
    </w:p>
    <w:p>
      <w:r>
        <w:pict>
          <v:rect style="width:0;height:1.5pt" o:hralign="center" o:hrstd="t" o:hr="t"/>
        </w:pict>
      </w:r>
    </w:p>
    <w:bookmarkEnd w:id="28"/>
    <w:bookmarkStart w:id="29" w:name="example-asset"/>
    <w:p>
      <w:pPr>
        <w:pStyle w:val="Heading1"/>
      </w:pPr>
      <w:r>
        <w:t xml:space="preserve">Example Asset</w:t>
      </w:r>
    </w:p>
    <w:p>
      <w:pPr>
        <w:pStyle w:val="FirstParagraph"/>
      </w:pPr>
      <w:r>
        <w:t xml:space="preserve">Ticker:</w:t>
      </w:r>
    </w:p>
    <w:p>
      <w:pPr>
        <w:pStyle w:val="BodyText"/>
      </w:pPr>
      <w:r>
        <w:t xml:space="preserve">TECH01</w:t>
      </w:r>
    </w:p>
    <w:p>
      <w:pPr>
        <w:pStyle w:val="BodyText"/>
      </w:pPr>
      <w:r>
        <w:t xml:space="preserve">Sector:</w:t>
      </w:r>
    </w:p>
    <w:p>
      <w:pPr>
        <w:pStyle w:val="BodyText"/>
      </w:pPr>
      <w:r>
        <w:t xml:space="preserve">Technology</w:t>
      </w:r>
    </w:p>
    <w:p>
      <w:pPr>
        <w:pStyle w:val="BodyText"/>
      </w:pPr>
      <w:r>
        <w:t xml:space="preserve">Price:</w:t>
      </w:r>
    </w:p>
    <w:p>
      <w:pPr>
        <w:pStyle w:val="BodyText"/>
      </w:pPr>
      <w:r>
        <w:t xml:space="preserve">₹120</w:t>
      </w:r>
    </w:p>
    <w:p>
      <w:pPr>
        <w:pStyle w:val="BodyText"/>
      </w:pPr>
      <w:r>
        <w:t xml:space="preserve">Volatility:</w:t>
      </w:r>
    </w:p>
    <w:p>
      <w:pPr>
        <w:pStyle w:val="BodyText"/>
      </w:pPr>
      <w:r>
        <w:t xml:space="preserve">18%</w:t>
      </w:r>
    </w:p>
    <w:p>
      <w:pPr>
        <w:pStyle w:val="BodyText"/>
      </w:pPr>
      <w:r>
        <w:t xml:space="preserve">Beta:</w:t>
      </w:r>
    </w:p>
    <w:p>
      <w:pPr>
        <w:pStyle w:val="BodyText"/>
      </w:pPr>
      <w:r>
        <w:t xml:space="preserve">1.3</w:t>
      </w:r>
    </w:p>
    <w:p>
      <w:pPr>
        <w:pStyle w:val="BodyText"/>
      </w:pPr>
      <w:r>
        <w:t xml:space="preserve">Dividend Yield:</w:t>
      </w:r>
    </w:p>
    <w:p>
      <w:pPr>
        <w:pStyle w:val="BodyText"/>
      </w:pPr>
      <w:r>
        <w:t xml:space="preserve">1.2%</w:t>
      </w:r>
    </w:p>
    <w:p>
      <w:r>
        <w:pict>
          <v:rect style="width:0;height:1.5pt" o:hralign="center" o:hrstd="t" o:hr="t"/>
        </w:pict>
      </w:r>
    </w:p>
    <w:bookmarkEnd w:id="29"/>
    <w:bookmarkStart w:id="30" w:name="market-regimes"/>
    <w:p>
      <w:pPr>
        <w:pStyle w:val="Heading1"/>
      </w:pPr>
      <w:r>
        <w:t xml:space="preserve">Market Regimes</w:t>
      </w:r>
    </w:p>
    <w:p>
      <w:pPr>
        <w:pStyle w:val="FirstParagraph"/>
      </w:pPr>
      <w:r>
        <w:t xml:space="preserve">Every simulation period belongs to one regime.</w:t>
      </w:r>
    </w:p>
    <w:p>
      <w:pPr>
        <w:pStyle w:val="BodyText"/>
      </w:pPr>
      <w:r>
        <w:t xml:space="preserve">Bull Market</w:t>
      </w:r>
    </w:p>
    <w:p>
      <w:pPr>
        <w:pStyle w:val="BodyText"/>
      </w:pPr>
      <w:r>
        <w:t xml:space="preserve">Bear Market</w:t>
      </w:r>
    </w:p>
    <w:p>
      <w:pPr>
        <w:pStyle w:val="BodyText"/>
      </w:pPr>
      <w:r>
        <w:t xml:space="preserve">Correction</w:t>
      </w:r>
    </w:p>
    <w:p>
      <w:pPr>
        <w:pStyle w:val="BodyText"/>
      </w:pPr>
      <w:r>
        <w:t xml:space="preserve">Recovery</w:t>
      </w:r>
    </w:p>
    <w:p>
      <w:pPr>
        <w:pStyle w:val="BodyText"/>
      </w:pPr>
      <w:r>
        <w:t xml:space="preserve">High Volatility</w:t>
      </w:r>
    </w:p>
    <w:p>
      <w:pPr>
        <w:pStyle w:val="BodyText"/>
      </w:pPr>
      <w:r>
        <w:t xml:space="preserve">Sideways</w:t>
      </w:r>
    </w:p>
    <w:p>
      <w:r>
        <w:pict>
          <v:rect style="width:0;height:1.5pt" o:hralign="center" o:hrstd="t" o:hr="t"/>
        </w:pict>
      </w:r>
    </w:p>
    <w:bookmarkEnd w:id="30"/>
    <w:bookmarkStart w:id="31" w:name="regime-distribution"/>
    <w:p>
      <w:pPr>
        <w:pStyle w:val="Heading1"/>
      </w:pPr>
      <w:r>
        <w:t xml:space="preserve">Regime Distribution</w:t>
      </w:r>
    </w:p>
    <w:p>
      <w:pPr>
        <w:pStyle w:val="FirstParagraph"/>
      </w:pPr>
      <w:r>
        <w:t xml:space="preserve">Bull</w:t>
      </w:r>
    </w:p>
    <w:p>
      <w:pPr>
        <w:pStyle w:val="BodyText"/>
      </w:pPr>
      <w:r>
        <w:t xml:space="preserve">40%</w:t>
      </w:r>
    </w:p>
    <w:p>
      <w:pPr>
        <w:pStyle w:val="BodyText"/>
      </w:pPr>
      <w:r>
        <w:t xml:space="preserve">Bear</w:t>
      </w:r>
    </w:p>
    <w:p>
      <w:pPr>
        <w:pStyle w:val="BodyText"/>
      </w:pPr>
      <w:r>
        <w:t xml:space="preserve">15%</w:t>
      </w:r>
    </w:p>
    <w:p>
      <w:pPr>
        <w:pStyle w:val="BodyText"/>
      </w:pPr>
      <w:r>
        <w:t xml:space="preserve">Correction</w:t>
      </w:r>
    </w:p>
    <w:p>
      <w:pPr>
        <w:pStyle w:val="BodyText"/>
      </w:pPr>
      <w:r>
        <w:t xml:space="preserve">15%</w:t>
      </w:r>
    </w:p>
    <w:p>
      <w:pPr>
        <w:pStyle w:val="BodyText"/>
      </w:pPr>
      <w:r>
        <w:t xml:space="preserve">Recovery</w:t>
      </w:r>
    </w:p>
    <w:p>
      <w:pPr>
        <w:pStyle w:val="BodyText"/>
      </w:pPr>
      <w:r>
        <w:t xml:space="preserve">15%</w:t>
      </w:r>
    </w:p>
    <w:p>
      <w:pPr>
        <w:pStyle w:val="BodyText"/>
      </w:pPr>
      <w:r>
        <w:t xml:space="preserve">Sideways</w:t>
      </w:r>
    </w:p>
    <w:p>
      <w:pPr>
        <w:pStyle w:val="BodyText"/>
      </w:pPr>
      <w:r>
        <w:t xml:space="preserve">15%</w:t>
      </w:r>
    </w:p>
    <w:p>
      <w:r>
        <w:pict>
          <v:rect style="width:0;height:1.5pt" o:hralign="center" o:hrstd="t" o:hr="t"/>
        </w:pict>
      </w:r>
    </w:p>
    <w:bookmarkEnd w:id="31"/>
    <w:bookmarkStart w:id="32" w:name="daily-price-generation"/>
    <w:p>
      <w:pPr>
        <w:pStyle w:val="Heading1"/>
      </w:pPr>
      <w:r>
        <w:t xml:space="preserve">Daily Price Generation</w:t>
      </w:r>
    </w:p>
    <w:p>
      <w:pPr>
        <w:pStyle w:val="FirstParagraph"/>
      </w:pPr>
      <w:r>
        <w:t xml:space="preserve">Each day:</w:t>
      </w:r>
    </w:p>
    <w:p>
      <w:pPr>
        <w:pStyle w:val="BodyText"/>
      </w:pPr>
      <w:r>
        <w:t xml:space="preserve">New Price</w:t>
      </w:r>
    </w:p>
    <w:p>
      <w:pPr>
        <w:pStyle w:val="BodyText"/>
      </w:pPr>
      <w:r>
        <w:t xml:space="preserve">=</w:t>
      </w:r>
    </w:p>
    <w:p>
      <w:pPr>
        <w:pStyle w:val="BodyText"/>
      </w:pPr>
      <w:r>
        <w:t xml:space="preserve">Previous Price</w:t>
      </w:r>
    </w:p>
    <w:p>
      <w:pPr>
        <w:pStyle w:val="BodyText"/>
      </w:pPr>
      <w:r>
        <w:t xml:space="preserve">×</w:t>
      </w:r>
    </w:p>
    <w:p>
      <w:pPr>
        <w:pStyle w:val="BodyText"/>
      </w:pPr>
      <w:r>
        <w:t xml:space="preserve">(1 + Daily Return)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Daily Return Components</w:t>
      </w:r>
    </w:p>
    <w:p>
      <w:pPr>
        <w:pStyle w:val="BodyText"/>
      </w:pPr>
      <w:r>
        <w:t xml:space="preserve">Market Trend</w:t>
      </w:r>
    </w:p>
    <w:p>
      <w:pPr>
        <w:pStyle w:val="FirstParagraph"/>
      </w:pPr>
      <w:r>
        <w:t xml:space="preserve">Sector Trend</w:t>
      </w:r>
    </w:p>
    <w:p>
      <w:pPr>
        <w:pStyle w:val="FirstParagraph"/>
      </w:pPr>
      <w:r>
        <w:t xml:space="preserve">Random Noise</w:t>
      </w:r>
    </w:p>
    <w:p>
      <w:pPr>
        <w:pStyle w:val="FirstParagraph"/>
      </w:pPr>
      <w:r>
        <w:t xml:space="preserve">Asset Specific Adjustment</w:t>
      </w:r>
    </w:p>
    <w:p>
      <w:r>
        <w:pict>
          <v:rect style="width:0;height:1.5pt" o:hralign="center" o:hrstd="t" o:hr="t"/>
        </w:pict>
      </w:r>
    </w:p>
    <w:bookmarkEnd w:id="32"/>
    <w:bookmarkStart w:id="33" w:name="sector-correlation-model"/>
    <w:p>
      <w:pPr>
        <w:pStyle w:val="Heading1"/>
      </w:pPr>
      <w:r>
        <w:t xml:space="preserve">Sector Correlation Model</w:t>
      </w:r>
    </w:p>
    <w:p>
      <w:pPr>
        <w:pStyle w:val="FirstParagraph"/>
      </w:pPr>
      <w:r>
        <w:t xml:space="preserve">Assets within the same sector move similarly.</w:t>
      </w:r>
    </w:p>
    <w:p>
      <w:pPr>
        <w:pStyle w:val="BodyText"/>
      </w:pPr>
      <w:r>
        <w:t xml:space="preserve">Example</w:t>
      </w:r>
    </w:p>
    <w:p>
      <w:pPr>
        <w:pStyle w:val="BodyText"/>
      </w:pPr>
      <w:r>
        <w:t xml:space="preserve">Technology Sector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TECH01</w:t>
      </w:r>
    </w:p>
    <w:p>
      <w:pPr>
        <w:pStyle w:val="BodyText"/>
      </w:pPr>
      <w:r>
        <w:t xml:space="preserve">TECH02</w:t>
      </w:r>
    </w:p>
    <w:p>
      <w:pPr>
        <w:pStyle w:val="BodyText"/>
      </w:pPr>
      <w:r>
        <w:t xml:space="preserve">TECH03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Similar directional movement</w:t>
      </w:r>
    </w:p>
    <w:p>
      <w:r>
        <w:pict>
          <v:rect style="width:0;height:1.5pt" o:hralign="center" o:hrstd="t" o:hr="t"/>
        </w:pict>
      </w:r>
    </w:p>
    <w:bookmarkEnd w:id="33"/>
    <w:bookmarkStart w:id="34" w:name="benchmark-generation"/>
    <w:p>
      <w:pPr>
        <w:pStyle w:val="Heading1"/>
      </w:pPr>
      <w:r>
        <w:t xml:space="preserve">Benchmark Generation</w:t>
      </w:r>
    </w:p>
    <w:p>
      <w:pPr>
        <w:pStyle w:val="FirstParagraph"/>
      </w:pPr>
      <w:r>
        <w:t xml:space="preserve">Benchmarks generated:</w:t>
      </w:r>
    </w:p>
    <w:p>
      <w:pPr>
        <w:pStyle w:val="BodyText"/>
      </w:pPr>
      <w:r>
        <w:t xml:space="preserve">SIM_NIFTY</w:t>
      </w:r>
    </w:p>
    <w:p>
      <w:pPr>
        <w:pStyle w:val="BodyText"/>
      </w:pPr>
      <w:r>
        <w:t xml:space="preserve">SIM_SP500</w:t>
      </w:r>
    </w:p>
    <w:p>
      <w:pPr>
        <w:pStyle w:val="BodyText"/>
      </w:pPr>
      <w:r>
        <w:t xml:space="preserve">SIM_BALANCED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Benchmark values are calculated using weighted averages of constituent assets.</w:t>
      </w:r>
    </w:p>
    <w:p>
      <w:r>
        <w:pict>
          <v:rect style="width:0;height:1.5pt" o:hralign="center" o:hrstd="t" o:hr="t"/>
        </w:pict>
      </w:r>
    </w:p>
    <w:bookmarkEnd w:id="34"/>
    <w:bookmarkStart w:id="35" w:name="portfolio-valuation-engine"/>
    <w:p>
      <w:pPr>
        <w:pStyle w:val="Heading1"/>
      </w:pPr>
      <w:r>
        <w:t xml:space="preserve">4. Portfolio Valuation Engine</w:t>
      </w:r>
    </w:p>
    <w:p>
      <w:pPr>
        <w:pStyle w:val="FirstParagraph"/>
      </w:pPr>
      <w:r>
        <w:t xml:space="preserve">Purpose</w:t>
      </w:r>
    </w:p>
    <w:p>
      <w:pPr>
        <w:pStyle w:val="BodyText"/>
      </w:pPr>
      <w:r>
        <w:t xml:space="preserve">Determine current portfolio value.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Input</w:t>
      </w:r>
    </w:p>
    <w:p>
      <w:pPr>
        <w:pStyle w:val="BodyText"/>
      </w:pPr>
      <w:r>
        <w:t xml:space="preserve">Portfolio</w:t>
      </w:r>
    </w:p>
    <w:p>
      <w:pPr>
        <w:pStyle w:val="BodyText"/>
      </w:pPr>
      <w:r>
        <w:t xml:space="preserve">Holdings</w:t>
      </w:r>
    </w:p>
    <w:p>
      <w:pPr>
        <w:pStyle w:val="BodyText"/>
      </w:pPr>
      <w:r>
        <w:t xml:space="preserve">Latest Prices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Calculation</w:t>
      </w:r>
    </w:p>
    <w:p>
      <w:pPr>
        <w:pStyle w:val="BodyText"/>
      </w:pPr>
      <w:r>
        <w:t xml:space="preserve">Holding Value</w:t>
      </w:r>
    </w:p>
    <w:p>
      <w:pPr>
        <w:pStyle w:val="BodyText"/>
      </w:pPr>
      <w:r>
        <w:t xml:space="preserve">=</w:t>
      </w:r>
    </w:p>
    <w:p>
      <w:pPr>
        <w:pStyle w:val="BodyText"/>
      </w:pPr>
      <w:r>
        <w:t xml:space="preserve">Quantity × Latest Price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Example</w:t>
      </w:r>
    </w:p>
    <w:p>
      <w:pPr>
        <w:pStyle w:val="BodyText"/>
      </w:pPr>
      <w:r>
        <w:t xml:space="preserve">100 Shares</w:t>
      </w:r>
    </w:p>
    <w:p>
      <w:pPr>
        <w:pStyle w:val="BodyText"/>
      </w:pPr>
      <w:r>
        <w:t xml:space="preserve">×</w:t>
      </w:r>
    </w:p>
    <w:p>
      <w:pPr>
        <w:pStyle w:val="BodyText"/>
      </w:pPr>
      <w:r>
        <w:t xml:space="preserve">₹120</w:t>
      </w:r>
    </w:p>
    <w:p>
      <w:pPr>
        <w:pStyle w:val="BodyText"/>
      </w:pPr>
      <w:r>
        <w:t xml:space="preserve">=</w:t>
      </w:r>
    </w:p>
    <w:p>
      <w:pPr>
        <w:pStyle w:val="BodyText"/>
      </w:pPr>
      <w:r>
        <w:t xml:space="preserve">₹12,000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Portfolio Value</w:t>
      </w:r>
    </w:p>
    <w:p>
      <w:pPr>
        <w:pStyle w:val="BodyText"/>
      </w:pPr>
      <w:r>
        <w:t xml:space="preserve">=</w:t>
      </w:r>
    </w:p>
    <w:p>
      <w:pPr>
        <w:pStyle w:val="BodyText"/>
      </w:pPr>
      <w:r>
        <w:t xml:space="preserve">Sum of all holdings</w:t>
      </w:r>
    </w:p>
    <w:p>
      <w:pPr>
        <w:pStyle w:val="FirstParagraph"/>
      </w:pPr>
      <w:r>
        <w:t xml:space="preserve">Cash Balance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Portfolio Snapshot Generation</w:t>
      </w:r>
    </w:p>
    <w:p>
      <w:pPr>
        <w:pStyle w:val="BodyText"/>
      </w:pPr>
      <w:r>
        <w:t xml:space="preserve">Daily</w:t>
      </w:r>
    </w:p>
    <w:p>
      <w:pPr>
        <w:pStyle w:val="BodyText"/>
      </w:pPr>
      <w:r>
        <w:t xml:space="preserve">Stored in:</w:t>
      </w:r>
    </w:p>
    <w:p>
      <w:pPr>
        <w:pStyle w:val="BodyText"/>
      </w:pPr>
      <w:r>
        <w:t xml:space="preserve">portfolio_snapshots</w:t>
      </w:r>
    </w:p>
    <w:p>
      <w:r>
        <w:pict>
          <v:rect style="width:0;height:1.5pt" o:hralign="center" o:hrstd="t" o:hr="t"/>
        </w:pict>
      </w:r>
    </w:p>
    <w:bookmarkEnd w:id="35"/>
    <w:bookmarkStart w:id="36" w:name="performance-analytics-engine"/>
    <w:p>
      <w:pPr>
        <w:pStyle w:val="Heading1"/>
      </w:pPr>
      <w:r>
        <w:t xml:space="preserve">5. Performance Analytics Engine</w:t>
      </w:r>
    </w:p>
    <w:p>
      <w:pPr>
        <w:pStyle w:val="FirstParagraph"/>
      </w:pPr>
      <w:r>
        <w:t xml:space="preserve">Purpose</w:t>
      </w:r>
    </w:p>
    <w:p>
      <w:pPr>
        <w:pStyle w:val="BodyText"/>
      </w:pPr>
      <w:r>
        <w:t xml:space="preserve">Measure portfolio performance.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Metrics</w:t>
      </w:r>
    </w:p>
    <w:p>
      <w:pPr>
        <w:pStyle w:val="BodyText"/>
      </w:pPr>
      <w:r>
        <w:t xml:space="preserve">Portfolio Value</w:t>
      </w:r>
    </w:p>
    <w:p>
      <w:pPr>
        <w:pStyle w:val="BodyText"/>
      </w:pPr>
      <w:r>
        <w:t xml:space="preserve">Invested Amount</w:t>
      </w:r>
    </w:p>
    <w:p>
      <w:pPr>
        <w:pStyle w:val="BodyText"/>
      </w:pPr>
      <w:r>
        <w:t xml:space="preserve">Current Gain</w:t>
      </w:r>
    </w:p>
    <w:p>
      <w:pPr>
        <w:pStyle w:val="BodyText"/>
      </w:pPr>
      <w:r>
        <w:t xml:space="preserve">Current Loss</w:t>
      </w:r>
    </w:p>
    <w:p>
      <w:pPr>
        <w:pStyle w:val="BodyText"/>
      </w:pPr>
      <w:r>
        <w:t xml:space="preserve">Portfolio Return</w:t>
      </w:r>
    </w:p>
    <w:p>
      <w:pPr>
        <w:pStyle w:val="BodyText"/>
      </w:pPr>
      <w:r>
        <w:t xml:space="preserve">Annualized Return</w:t>
      </w:r>
    </w:p>
    <w:p>
      <w:r>
        <w:pict>
          <v:rect style="width:0;height:1.5pt" o:hralign="center" o:hrstd="t" o:hr="t"/>
        </w:pict>
      </w:r>
    </w:p>
    <w:bookmarkEnd w:id="36"/>
    <w:bookmarkStart w:id="37" w:name="return-calculation"/>
    <w:p>
      <w:pPr>
        <w:pStyle w:val="Heading1"/>
      </w:pPr>
      <w:r>
        <w:t xml:space="preserve">Return Calculation</w:t>
      </w:r>
    </w:p>
    <w:p>
      <w:pPr>
        <w:pStyle w:val="FirstParagraph"/>
      </w:pPr>
      <w:r>
        <w:t xml:space="preserve">Return %</w:t>
      </w:r>
    </w:p>
    <w:p>
      <w:pPr>
        <w:pStyle w:val="BodyText"/>
      </w:pPr>
      <w:r>
        <w:t xml:space="preserve">=</w:t>
      </w:r>
    </w:p>
    <w:p>
      <w:pPr>
        <w:pStyle w:val="BodyText"/>
      </w:pPr>
      <w:r>
        <w:t xml:space="preserve">(Current Value - Invested Value)</w:t>
      </w:r>
    </w:p>
    <w:p>
      <w:pPr>
        <w:pStyle w:val="BodyText"/>
      </w:pPr>
      <w:r>
        <w:t xml:space="preserve">/</w:t>
      </w:r>
    </w:p>
    <w:p>
      <w:pPr>
        <w:pStyle w:val="BodyText"/>
      </w:pPr>
      <w:r>
        <w:t xml:space="preserve">Invested Value</w:t>
      </w:r>
    </w:p>
    <w:p>
      <w:pPr>
        <w:pStyle w:val="BodyText"/>
      </w:pPr>
      <w:r>
        <w:t xml:space="preserve">×</w:t>
      </w:r>
    </w:p>
    <w:p>
      <w:pPr>
        <w:pStyle w:val="BodyText"/>
      </w:pPr>
      <w:r>
        <w:t xml:space="preserve">100</w:t>
      </w:r>
    </w:p>
    <w:p>
      <w:r>
        <w:pict>
          <v:rect style="width:0;height:1.5pt" o:hralign="center" o:hrstd="t" o:hr="t"/>
        </w:pict>
      </w:r>
    </w:p>
    <w:bookmarkEnd w:id="37"/>
    <w:bookmarkStart w:id="38" w:name="cagr"/>
    <w:p>
      <w:pPr>
        <w:pStyle w:val="Heading1"/>
      </w:pPr>
      <w:r>
        <w:t xml:space="preserve">CAGR</w:t>
      </w:r>
    </w:p>
    <w:p>
      <w:pPr>
        <w:pStyle w:val="FirstParagraph"/>
      </w:pPr>
      <w:r>
        <w:t xml:space="preserve">Measures annual growth rate.</w:t>
      </w:r>
    </w:p>
    <w:p>
      <w:pPr>
        <w:pStyle w:val="BodyText"/>
      </w:pPr>
      <w:r>
        <w:t xml:space="preserve">Used for:</w:t>
      </w:r>
    </w:p>
    <w:p>
      <w:pPr>
        <w:pStyle w:val="BodyText"/>
      </w:pPr>
      <w:r>
        <w:t xml:space="preserve">Long-term portfolio evaluation.</w:t>
      </w:r>
    </w:p>
    <w:p>
      <w:r>
        <w:pict>
          <v:rect style="width:0;height:1.5pt" o:hralign="center" o:hrstd="t" o:hr="t"/>
        </w:pict>
      </w:r>
    </w:p>
    <w:bookmarkEnd w:id="38"/>
    <w:bookmarkStart w:id="39" w:name="time-weighted-return"/>
    <w:p>
      <w:pPr>
        <w:pStyle w:val="Heading1"/>
      </w:pPr>
      <w:r>
        <w:t xml:space="preserve">Time Weighted Return</w:t>
      </w:r>
    </w:p>
    <w:p>
      <w:pPr>
        <w:pStyle w:val="FirstParagraph"/>
      </w:pPr>
      <w:r>
        <w:t xml:space="preserve">Measures portfolio performance excluding external cash flow effects.</w:t>
      </w:r>
    </w:p>
    <w:p>
      <w:r>
        <w:pict>
          <v:rect style="width:0;height:1.5pt" o:hralign="center" o:hrstd="t" o:hr="t"/>
        </w:pict>
      </w:r>
    </w:p>
    <w:bookmarkEnd w:id="39"/>
    <w:bookmarkStart w:id="40" w:name="money-weighted-return"/>
    <w:p>
      <w:pPr>
        <w:pStyle w:val="Heading1"/>
      </w:pPr>
      <w:r>
        <w:t xml:space="preserve">Money Weighted Return</w:t>
      </w:r>
    </w:p>
    <w:p>
      <w:pPr>
        <w:pStyle w:val="FirstParagraph"/>
      </w:pPr>
      <w:r>
        <w:t xml:space="preserve">Measures investor-specific return considering cash movements.</w:t>
      </w:r>
    </w:p>
    <w:p>
      <w:r>
        <w:pict>
          <v:rect style="width:0;height:1.5pt" o:hralign="center" o:hrstd="t" o:hr="t"/>
        </w:pict>
      </w:r>
    </w:p>
    <w:bookmarkEnd w:id="40"/>
    <w:bookmarkStart w:id="41" w:name="performance-attribution"/>
    <w:p>
      <w:pPr>
        <w:pStyle w:val="Heading1"/>
      </w:pPr>
      <w:r>
        <w:t xml:space="preserve">Performance Attribution</w:t>
      </w:r>
    </w:p>
    <w:p>
      <w:pPr>
        <w:pStyle w:val="FirstParagraph"/>
      </w:pPr>
      <w:r>
        <w:t xml:space="preserve">Purpose</w:t>
      </w:r>
    </w:p>
    <w:p>
      <w:pPr>
        <w:pStyle w:val="BodyText"/>
      </w:pPr>
      <w:r>
        <w:t xml:space="preserve">Explain why portfolio value changed.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Factors</w:t>
      </w:r>
    </w:p>
    <w:p>
      <w:pPr>
        <w:pStyle w:val="BodyText"/>
      </w:pPr>
      <w:r>
        <w:t xml:space="preserve">Asset Allocation</w:t>
      </w:r>
    </w:p>
    <w:p>
      <w:pPr>
        <w:pStyle w:val="BodyText"/>
      </w:pPr>
      <w:r>
        <w:t xml:space="preserve">Security Selection</w:t>
      </w:r>
    </w:p>
    <w:p>
      <w:pPr>
        <w:pStyle w:val="BodyText"/>
      </w:pPr>
      <w:r>
        <w:t xml:space="preserve">Sector Performance</w:t>
      </w:r>
    </w:p>
    <w:p>
      <w:pPr>
        <w:pStyle w:val="BodyText"/>
      </w:pPr>
      <w:r>
        <w:t xml:space="preserve">Cash Holdings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Example Output</w:t>
      </w:r>
    </w:p>
    <w:p>
      <w:pPr>
        <w:pStyle w:val="BodyText"/>
      </w:pPr>
      <w:r>
        <w:t xml:space="preserve">Technology Holdings</w:t>
      </w:r>
    </w:p>
    <w:p>
      <w:pPr>
        <w:pStyle w:val="BodyText"/>
      </w:pPr>
      <w:r>
        <w:t xml:space="preserve">+8%</w:t>
      </w:r>
    </w:p>
    <w:p>
      <w:pPr>
        <w:pStyle w:val="BodyText"/>
      </w:pPr>
      <w:r>
        <w:t xml:space="preserve">Banking Holdings</w:t>
      </w:r>
    </w:p>
    <w:p>
      <w:pPr>
        <w:pStyle w:val="BodyText"/>
      </w:pPr>
      <w:r>
        <w:t xml:space="preserve">+3%</w:t>
      </w:r>
    </w:p>
    <w:p>
      <w:pPr>
        <w:pStyle w:val="BodyText"/>
      </w:pPr>
      <w:r>
        <w:t xml:space="preserve">Cash Position</w:t>
      </w:r>
    </w:p>
    <w:p>
      <w:pPr>
        <w:pStyle w:val="BodyText"/>
      </w:pPr>
      <w:r>
        <w:t xml:space="preserve">+1%</w:t>
      </w:r>
    </w:p>
    <w:p>
      <w:pPr>
        <w:pStyle w:val="BodyText"/>
      </w:pPr>
      <w:r>
        <w:t xml:space="preserve">Total Portfolio Return</w:t>
      </w:r>
    </w:p>
    <w:p>
      <w:pPr>
        <w:pStyle w:val="BodyText"/>
      </w:pPr>
      <w:r>
        <w:t xml:space="preserve">+12%</w:t>
      </w:r>
    </w:p>
    <w:p>
      <w:r>
        <w:pict>
          <v:rect style="width:0;height:1.5pt" o:hralign="center" o:hrstd="t" o:hr="t"/>
        </w:pict>
      </w:r>
    </w:p>
    <w:bookmarkEnd w:id="41"/>
    <w:bookmarkStart w:id="42" w:name="risk-analytics-engine"/>
    <w:p>
      <w:pPr>
        <w:pStyle w:val="Heading1"/>
      </w:pPr>
      <w:r>
        <w:t xml:space="preserve">6. Risk Analytics Engine</w:t>
      </w:r>
    </w:p>
    <w:p>
      <w:pPr>
        <w:pStyle w:val="FirstParagraph"/>
      </w:pPr>
      <w:r>
        <w:t xml:space="preserve">Purpose</w:t>
      </w:r>
    </w:p>
    <w:p>
      <w:pPr>
        <w:pStyle w:val="BodyText"/>
      </w:pPr>
      <w:r>
        <w:t xml:space="preserve">Measure portfolio risk.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Risk Metrics</w:t>
      </w:r>
    </w:p>
    <w:p>
      <w:pPr>
        <w:pStyle w:val="BodyText"/>
      </w:pPr>
      <w:r>
        <w:t xml:space="preserve">Volatility</w:t>
      </w:r>
    </w:p>
    <w:p>
      <w:pPr>
        <w:pStyle w:val="BodyText"/>
      </w:pPr>
      <w:r>
        <w:t xml:space="preserve">Beta</w:t>
      </w:r>
    </w:p>
    <w:p>
      <w:pPr>
        <w:pStyle w:val="BodyText"/>
      </w:pPr>
      <w:r>
        <w:t xml:space="preserve">Sharpe Ratio</w:t>
      </w:r>
    </w:p>
    <w:p>
      <w:pPr>
        <w:pStyle w:val="BodyText"/>
      </w:pPr>
      <w:r>
        <w:t xml:space="preserve">Sortino Ratio</w:t>
      </w:r>
    </w:p>
    <w:p>
      <w:pPr>
        <w:pStyle w:val="BodyText"/>
      </w:pPr>
      <w:r>
        <w:t xml:space="preserve">Maximum Drawdown</w:t>
      </w:r>
    </w:p>
    <w:p>
      <w:pPr>
        <w:pStyle w:val="BodyText"/>
      </w:pPr>
      <w:r>
        <w:t xml:space="preserve">Value at Risk</w:t>
      </w:r>
    </w:p>
    <w:p>
      <w:pPr>
        <w:pStyle w:val="BodyText"/>
      </w:pPr>
      <w:r>
        <w:t xml:space="preserve">Concentration Risk</w:t>
      </w:r>
    </w:p>
    <w:p>
      <w:r>
        <w:pict>
          <v:rect style="width:0;height:1.5pt" o:hralign="center" o:hrstd="t" o:hr="t"/>
        </w:pict>
      </w:r>
    </w:p>
    <w:bookmarkEnd w:id="42"/>
    <w:bookmarkStart w:id="43" w:name="volatility"/>
    <w:p>
      <w:pPr>
        <w:pStyle w:val="Heading1"/>
      </w:pPr>
      <w:r>
        <w:t xml:space="preserve">Volatility</w:t>
      </w:r>
    </w:p>
    <w:p>
      <w:pPr>
        <w:pStyle w:val="FirstParagraph"/>
      </w:pPr>
      <w:r>
        <w:t xml:space="preserve">Measures variability of returns.</w:t>
      </w:r>
    </w:p>
    <w:p>
      <w:pPr>
        <w:pStyle w:val="BodyText"/>
      </w:pPr>
      <w:r>
        <w:t xml:space="preserve">High Volatility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Higher Risk</w:t>
      </w:r>
    </w:p>
    <w:p>
      <w:r>
        <w:pict>
          <v:rect style="width:0;height:1.5pt" o:hralign="center" o:hrstd="t" o:hr="t"/>
        </w:pict>
      </w:r>
    </w:p>
    <w:bookmarkEnd w:id="43"/>
    <w:bookmarkStart w:id="44" w:name="beta"/>
    <w:p>
      <w:pPr>
        <w:pStyle w:val="Heading1"/>
      </w:pPr>
      <w:r>
        <w:t xml:space="preserve">Beta</w:t>
      </w:r>
    </w:p>
    <w:p>
      <w:pPr>
        <w:pStyle w:val="FirstParagraph"/>
      </w:pPr>
      <w:r>
        <w:t xml:space="preserve">Measures sensitivity against benchmark.</w:t>
      </w:r>
    </w:p>
    <w:p>
      <w:pPr>
        <w:pStyle w:val="BodyText"/>
      </w:pPr>
      <w:r>
        <w:t xml:space="preserve">Beta = 1</w:t>
      </w:r>
    </w:p>
    <w:p>
      <w:pPr>
        <w:pStyle w:val="BodyText"/>
      </w:pPr>
      <w:r>
        <w:t xml:space="preserve">Moves with market.</w:t>
      </w:r>
    </w:p>
    <w:p>
      <w:pPr>
        <w:pStyle w:val="BodyText"/>
      </w:pPr>
      <w:r>
        <w:t xml:space="preserve">Beta &gt; 1</w:t>
      </w:r>
    </w:p>
    <w:p>
      <w:pPr>
        <w:pStyle w:val="BodyText"/>
      </w:pPr>
      <w:r>
        <w:t xml:space="preserve">More aggressive.</w:t>
      </w:r>
    </w:p>
    <w:p>
      <w:pPr>
        <w:pStyle w:val="BodyText"/>
      </w:pPr>
      <w:r>
        <w:t xml:space="preserve">Beta &lt; 1</w:t>
      </w:r>
    </w:p>
    <w:p>
      <w:pPr>
        <w:pStyle w:val="BodyText"/>
      </w:pPr>
      <w:r>
        <w:t xml:space="preserve">More defensive.</w:t>
      </w:r>
    </w:p>
    <w:p>
      <w:r>
        <w:pict>
          <v:rect style="width:0;height:1.5pt" o:hralign="center" o:hrstd="t" o:hr="t"/>
        </w:pict>
      </w:r>
    </w:p>
    <w:bookmarkEnd w:id="44"/>
    <w:bookmarkStart w:id="45" w:name="sharpe-ratio"/>
    <w:p>
      <w:pPr>
        <w:pStyle w:val="Heading1"/>
      </w:pPr>
      <w:r>
        <w:t xml:space="preserve">Sharpe Ratio</w:t>
      </w:r>
    </w:p>
    <w:p>
      <w:pPr>
        <w:pStyle w:val="FirstParagraph"/>
      </w:pPr>
      <w:r>
        <w:t xml:space="preserve">Measures risk-adjusted return.</w:t>
      </w:r>
    </w:p>
    <w:p>
      <w:pPr>
        <w:pStyle w:val="BodyText"/>
      </w:pPr>
      <w:r>
        <w:t xml:space="preserve">Higher values indicate better risk-adjusted performance.</w:t>
      </w:r>
    </w:p>
    <w:p>
      <w:r>
        <w:pict>
          <v:rect style="width:0;height:1.5pt" o:hralign="center" o:hrstd="t" o:hr="t"/>
        </w:pict>
      </w:r>
    </w:p>
    <w:bookmarkEnd w:id="45"/>
    <w:bookmarkStart w:id="46" w:name="sortino-ratio"/>
    <w:p>
      <w:pPr>
        <w:pStyle w:val="Heading1"/>
      </w:pPr>
      <w:r>
        <w:t xml:space="preserve">Sortino Ratio</w:t>
      </w:r>
    </w:p>
    <w:p>
      <w:pPr>
        <w:pStyle w:val="FirstParagraph"/>
      </w:pPr>
      <w:r>
        <w:t xml:space="preserve">Variation of Sharpe Ratio.</w:t>
      </w:r>
    </w:p>
    <w:p>
      <w:pPr>
        <w:pStyle w:val="BodyText"/>
      </w:pPr>
      <w:r>
        <w:t xml:space="preserve">Only penalizes downside volatility.</w:t>
      </w:r>
    </w:p>
    <w:p>
      <w:r>
        <w:pict>
          <v:rect style="width:0;height:1.5pt" o:hralign="center" o:hrstd="t" o:hr="t"/>
        </w:pict>
      </w:r>
    </w:p>
    <w:bookmarkEnd w:id="46"/>
    <w:bookmarkStart w:id="47" w:name="maximum-drawdown"/>
    <w:p>
      <w:pPr>
        <w:pStyle w:val="Heading1"/>
      </w:pPr>
      <w:r>
        <w:t xml:space="preserve">Maximum Drawdown</w:t>
      </w:r>
    </w:p>
    <w:p>
      <w:pPr>
        <w:pStyle w:val="FirstParagraph"/>
      </w:pPr>
      <w:r>
        <w:t xml:space="preserve">Measures largest portfolio decline.</w:t>
      </w:r>
    </w:p>
    <w:p>
      <w:pPr>
        <w:pStyle w:val="BodyText"/>
      </w:pPr>
      <w:r>
        <w:t xml:space="preserve">Example</w:t>
      </w:r>
    </w:p>
    <w:p>
      <w:pPr>
        <w:pStyle w:val="BodyText"/>
      </w:pPr>
      <w:r>
        <w:t xml:space="preserve">₹100,000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₹75,000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Maximum Drawdown</w:t>
      </w:r>
    </w:p>
    <w:p>
      <w:pPr>
        <w:pStyle w:val="BodyText"/>
      </w:pPr>
      <w:r>
        <w:t xml:space="preserve">25%</w:t>
      </w:r>
    </w:p>
    <w:p>
      <w:r>
        <w:pict>
          <v:rect style="width:0;height:1.5pt" o:hralign="center" o:hrstd="t" o:hr="t"/>
        </w:pict>
      </w:r>
    </w:p>
    <w:bookmarkEnd w:id="47"/>
    <w:bookmarkStart w:id="48" w:name="value-at-risk-var"/>
    <w:p>
      <w:pPr>
        <w:pStyle w:val="Heading1"/>
      </w:pPr>
      <w:r>
        <w:t xml:space="preserve">Value at Risk (VaR)</w:t>
      </w:r>
    </w:p>
    <w:p>
      <w:pPr>
        <w:pStyle w:val="FirstParagraph"/>
      </w:pPr>
      <w:r>
        <w:t xml:space="preserve">Purpose</w:t>
      </w:r>
    </w:p>
    <w:p>
      <w:pPr>
        <w:pStyle w:val="BodyText"/>
      </w:pPr>
      <w:r>
        <w:t xml:space="preserve">Estimate worst expected loss.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Example</w:t>
      </w:r>
    </w:p>
    <w:p>
      <w:pPr>
        <w:pStyle w:val="BodyText"/>
      </w:pPr>
      <w:r>
        <w:t xml:space="preserve">95% VaR</w:t>
      </w:r>
    </w:p>
    <w:p>
      <w:pPr>
        <w:pStyle w:val="BodyText"/>
      </w:pPr>
      <w:r>
        <w:t xml:space="preserve">₹50,000</w:t>
      </w:r>
    </w:p>
    <w:p>
      <w:pPr>
        <w:pStyle w:val="BodyText"/>
      </w:pPr>
      <w:r>
        <w:t xml:space="preserve">Interpretation</w:t>
      </w:r>
    </w:p>
    <w:p>
      <w:pPr>
        <w:pStyle w:val="BodyText"/>
      </w:pPr>
      <w:r>
        <w:t xml:space="preserve">95% confidence that losses will not exceed ₹50,000.</w:t>
      </w:r>
    </w:p>
    <w:p>
      <w:r>
        <w:pict>
          <v:rect style="width:0;height:1.5pt" o:hralign="center" o:hrstd="t" o:hr="t"/>
        </w:pict>
      </w:r>
    </w:p>
    <w:bookmarkEnd w:id="48"/>
    <w:bookmarkStart w:id="49" w:name="concentration-risk"/>
    <w:p>
      <w:pPr>
        <w:pStyle w:val="Heading1"/>
      </w:pPr>
      <w:r>
        <w:t xml:space="preserve">Concentration Risk</w:t>
      </w:r>
    </w:p>
    <w:p>
      <w:pPr>
        <w:pStyle w:val="FirstParagraph"/>
      </w:pPr>
      <w:r>
        <w:t xml:space="preserve">Purpose</w:t>
      </w:r>
    </w:p>
    <w:p>
      <w:pPr>
        <w:pStyle w:val="BodyText"/>
      </w:pPr>
      <w:r>
        <w:t xml:space="preserve">Identify overexposure.</w:t>
      </w:r>
    </w:p>
    <w:p>
      <w:pPr>
        <w:pStyle w:val="BodyText"/>
      </w:pPr>
      <w:r>
        <w:t xml:space="preserve">Checks:</w:t>
      </w:r>
    </w:p>
    <w:p>
      <w:pPr>
        <w:pStyle w:val="BodyText"/>
      </w:pPr>
      <w:r>
        <w:t xml:space="preserve">Single Asset</w:t>
      </w:r>
    </w:p>
    <w:p>
      <w:pPr>
        <w:pStyle w:val="BodyText"/>
      </w:pPr>
      <w:r>
        <w:t xml:space="preserve">Single Sector</w:t>
      </w:r>
    </w:p>
    <w:p>
      <w:pPr>
        <w:pStyle w:val="BodyText"/>
      </w:pPr>
      <w:r>
        <w:t xml:space="preserve">Single Asset Class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Example</w:t>
      </w:r>
    </w:p>
    <w:p>
      <w:pPr>
        <w:pStyle w:val="BodyText"/>
      </w:pPr>
      <w:r>
        <w:t xml:space="preserve">Technology Exposure</w:t>
      </w:r>
    </w:p>
    <w:p>
      <w:pPr>
        <w:pStyle w:val="BodyText"/>
      </w:pPr>
      <w:r>
        <w:t xml:space="preserve">65%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Risk Alert Generated</w:t>
      </w:r>
    </w:p>
    <w:p>
      <w:r>
        <w:pict>
          <v:rect style="width:0;height:1.5pt" o:hralign="center" o:hrstd="t" o:hr="t"/>
        </w:pict>
      </w:r>
    </w:p>
    <w:bookmarkEnd w:id="49"/>
    <w:bookmarkStart w:id="50" w:name="stress-testing-engine"/>
    <w:p>
      <w:pPr>
        <w:pStyle w:val="Heading1"/>
      </w:pPr>
      <w:r>
        <w:t xml:space="preserve">7. Stress Testing Engine</w:t>
      </w:r>
    </w:p>
    <w:p>
      <w:pPr>
        <w:pStyle w:val="FirstParagraph"/>
      </w:pPr>
      <w:r>
        <w:t xml:space="preserve">Purpose</w:t>
      </w:r>
    </w:p>
    <w:p>
      <w:pPr>
        <w:pStyle w:val="BodyText"/>
      </w:pPr>
      <w:r>
        <w:t xml:space="preserve">Simulate adverse market conditions.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Scenario Library</w:t>
      </w:r>
    </w:p>
    <w:p>
      <w:pPr>
        <w:pStyle w:val="BodyText"/>
      </w:pPr>
      <w:r>
        <w:t xml:space="preserve">Market Crash</w:t>
      </w:r>
    </w:p>
    <w:p>
      <w:pPr>
        <w:pStyle w:val="BodyText"/>
      </w:pPr>
      <w:r>
        <w:t xml:space="preserve">Technology Crash</w:t>
      </w:r>
    </w:p>
    <w:p>
      <w:pPr>
        <w:pStyle w:val="BodyText"/>
      </w:pPr>
      <w:r>
        <w:t xml:space="preserve">Banking Crisis</w:t>
      </w:r>
    </w:p>
    <w:p>
      <w:pPr>
        <w:pStyle w:val="BodyText"/>
      </w:pPr>
      <w:r>
        <w:t xml:space="preserve">Interest Rate Shock</w:t>
      </w:r>
    </w:p>
    <w:p>
      <w:pPr>
        <w:pStyle w:val="BodyText"/>
      </w:pPr>
      <w:r>
        <w:t xml:space="preserve">Inflation Shock</w:t>
      </w:r>
    </w:p>
    <w:p>
      <w:pPr>
        <w:pStyle w:val="BodyText"/>
      </w:pPr>
      <w:r>
        <w:t xml:space="preserve">Custom Scenario</w:t>
      </w:r>
    </w:p>
    <w:p>
      <w:r>
        <w:pict>
          <v:rect style="width:0;height:1.5pt" o:hralign="center" o:hrstd="t" o:hr="t"/>
        </w:pict>
      </w:r>
    </w:p>
    <w:bookmarkEnd w:id="50"/>
    <w:bookmarkStart w:id="51" w:name="market-crash-scenario"/>
    <w:p>
      <w:pPr>
        <w:pStyle w:val="Heading1"/>
      </w:pPr>
      <w:r>
        <w:t xml:space="preserve">Market Crash Scenario</w:t>
      </w:r>
    </w:p>
    <w:p>
      <w:pPr>
        <w:pStyle w:val="FirstParagraph"/>
      </w:pPr>
      <w:r>
        <w:t xml:space="preserve">All assets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-20%</w:t>
      </w:r>
    </w:p>
    <w:p>
      <w:pPr>
        <w:pStyle w:val="BodyText"/>
      </w:pPr>
      <w:r>
        <w:t xml:space="preserve">Impact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Portfolio Recalculated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Loss Report Generated</w:t>
      </w:r>
    </w:p>
    <w:p>
      <w:r>
        <w:pict>
          <v:rect style="width:0;height:1.5pt" o:hralign="center" o:hrstd="t" o:hr="t"/>
        </w:pict>
      </w:r>
    </w:p>
    <w:bookmarkEnd w:id="51"/>
    <w:bookmarkStart w:id="52" w:name="technology-crash-scenario"/>
    <w:p>
      <w:pPr>
        <w:pStyle w:val="Heading1"/>
      </w:pPr>
      <w:r>
        <w:t xml:space="preserve">Technology Crash Scenario</w:t>
      </w:r>
    </w:p>
    <w:p>
      <w:pPr>
        <w:pStyle w:val="FirstParagraph"/>
      </w:pPr>
      <w:r>
        <w:t xml:space="preserve">Technology Assets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-30%</w:t>
      </w:r>
    </w:p>
    <w:p>
      <w:pPr>
        <w:pStyle w:val="BodyText"/>
      </w:pPr>
      <w:r>
        <w:t xml:space="preserve">Other Assets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Unaffected</w:t>
      </w:r>
    </w:p>
    <w:p>
      <w:r>
        <w:pict>
          <v:rect style="width:0;height:1.5pt" o:hralign="center" o:hrstd="t" o:hr="t"/>
        </w:pict>
      </w:r>
    </w:p>
    <w:bookmarkEnd w:id="52"/>
    <w:bookmarkStart w:id="53" w:name="interest-rate-shock"/>
    <w:p>
      <w:pPr>
        <w:pStyle w:val="Heading1"/>
      </w:pPr>
      <w:r>
        <w:t xml:space="preserve">Interest Rate Shock</w:t>
      </w:r>
    </w:p>
    <w:p>
      <w:pPr>
        <w:pStyle w:val="FirstParagraph"/>
      </w:pPr>
      <w:r>
        <w:t xml:space="preserve">Bond Values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Decrease</w:t>
      </w:r>
    </w:p>
    <w:p>
      <w:pPr>
        <w:pStyle w:val="BodyText"/>
      </w:pPr>
      <w:r>
        <w:t xml:space="preserve">Banking Assets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Adjusted</w:t>
      </w:r>
    </w:p>
    <w:p>
      <w:pPr>
        <w:pStyle w:val="BodyText"/>
      </w:pPr>
      <w:r>
        <w:t xml:space="preserve">Portfolio Recalculated</w:t>
      </w:r>
    </w:p>
    <w:p>
      <w:r>
        <w:pict>
          <v:rect style="width:0;height:1.5pt" o:hralign="center" o:hrstd="t" o:hr="t"/>
        </w:pict>
      </w:r>
    </w:p>
    <w:bookmarkEnd w:id="53"/>
    <w:bookmarkStart w:id="54" w:name="stress-test-output"/>
    <w:p>
      <w:pPr>
        <w:pStyle w:val="Heading1"/>
      </w:pPr>
      <w:r>
        <w:t xml:space="preserve">Stress Test Output</w:t>
      </w:r>
    </w:p>
    <w:p>
      <w:pPr>
        <w:pStyle w:val="FirstParagraph"/>
      </w:pPr>
      <w:r>
        <w:t xml:space="preserve">Current Portfolio Value</w:t>
      </w:r>
    </w:p>
    <w:p>
      <w:pPr>
        <w:pStyle w:val="BodyText"/>
      </w:pPr>
      <w:r>
        <w:t xml:space="preserve">Scenario Portfolio Value</w:t>
      </w:r>
    </w:p>
    <w:p>
      <w:pPr>
        <w:pStyle w:val="BodyText"/>
      </w:pPr>
      <w:r>
        <w:t xml:space="preserve">Absolute Loss</w:t>
      </w:r>
    </w:p>
    <w:p>
      <w:pPr>
        <w:pStyle w:val="BodyText"/>
      </w:pPr>
      <w:r>
        <w:t xml:space="preserve">Percentage Loss</w:t>
      </w:r>
    </w:p>
    <w:p>
      <w:pPr>
        <w:pStyle w:val="BodyText"/>
      </w:pPr>
      <w:r>
        <w:t xml:space="preserve">Affected Holdings</w:t>
      </w:r>
    </w:p>
    <w:p>
      <w:pPr>
        <w:pStyle w:val="BodyText"/>
      </w:pPr>
      <w:r>
        <w:t xml:space="preserve">Risk Rating</w:t>
      </w:r>
    </w:p>
    <w:p>
      <w:r>
        <w:pict>
          <v:rect style="width:0;height:1.5pt" o:hralign="center" o:hrstd="t" o:hr="t"/>
        </w:pict>
      </w:r>
    </w:p>
    <w:bookmarkEnd w:id="54"/>
    <w:bookmarkStart w:id="55" w:name="rebalancing-engine"/>
    <w:p>
      <w:pPr>
        <w:pStyle w:val="Heading1"/>
      </w:pPr>
      <w:r>
        <w:t xml:space="preserve">8. Rebalancing Engine</w:t>
      </w:r>
    </w:p>
    <w:p>
      <w:pPr>
        <w:pStyle w:val="FirstParagraph"/>
      </w:pPr>
      <w:r>
        <w:t xml:space="preserve">Purpose</w:t>
      </w:r>
    </w:p>
    <w:p>
      <w:pPr>
        <w:pStyle w:val="BodyText"/>
      </w:pPr>
      <w:r>
        <w:t xml:space="preserve">Maintain desired allocation.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Input</w:t>
      </w:r>
    </w:p>
    <w:p>
      <w:pPr>
        <w:pStyle w:val="BodyText"/>
      </w:pPr>
      <w:r>
        <w:t xml:space="preserve">Current Allocation</w:t>
      </w:r>
    </w:p>
    <w:p>
      <w:pPr>
        <w:pStyle w:val="BodyText"/>
      </w:pPr>
      <w:r>
        <w:t xml:space="preserve">Target Allocation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Example</w:t>
      </w:r>
    </w:p>
    <w:p>
      <w:pPr>
        <w:pStyle w:val="BodyText"/>
      </w:pPr>
      <w:r>
        <w:t xml:space="preserve">Current</w:t>
      </w:r>
    </w:p>
    <w:p>
      <w:pPr>
        <w:pStyle w:val="BodyText"/>
      </w:pPr>
      <w:r>
        <w:t xml:space="preserve">Technology</w:t>
      </w:r>
    </w:p>
    <w:p>
      <w:pPr>
        <w:pStyle w:val="BodyText"/>
      </w:pPr>
      <w:r>
        <w:t xml:space="preserve">45%</w:t>
      </w:r>
    </w:p>
    <w:p>
      <w:pPr>
        <w:pStyle w:val="BodyText"/>
      </w:pPr>
      <w:r>
        <w:t xml:space="preserve">Banking</w:t>
      </w:r>
    </w:p>
    <w:p>
      <w:pPr>
        <w:pStyle w:val="BodyText"/>
      </w:pPr>
      <w:r>
        <w:t xml:space="preserve">20%</w:t>
      </w:r>
    </w:p>
    <w:p>
      <w:pPr>
        <w:pStyle w:val="BodyText"/>
      </w:pPr>
      <w:r>
        <w:t xml:space="preserve">Healthcare</w:t>
      </w:r>
    </w:p>
    <w:p>
      <w:pPr>
        <w:pStyle w:val="BodyText"/>
      </w:pPr>
      <w:r>
        <w:t xml:space="preserve">15%</w:t>
      </w:r>
    </w:p>
    <w:p>
      <w:pPr>
        <w:pStyle w:val="BodyText"/>
      </w:pPr>
      <w:r>
        <w:t xml:space="preserve">Cash</w:t>
      </w:r>
    </w:p>
    <w:p>
      <w:pPr>
        <w:pStyle w:val="BodyText"/>
      </w:pPr>
      <w:r>
        <w:t xml:space="preserve">20%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Target</w:t>
      </w:r>
    </w:p>
    <w:p>
      <w:pPr>
        <w:pStyle w:val="BodyText"/>
      </w:pPr>
      <w:r>
        <w:t xml:space="preserve">Technology</w:t>
      </w:r>
    </w:p>
    <w:p>
      <w:pPr>
        <w:pStyle w:val="BodyText"/>
      </w:pPr>
      <w:r>
        <w:t xml:space="preserve">30%</w:t>
      </w:r>
    </w:p>
    <w:p>
      <w:pPr>
        <w:pStyle w:val="BodyText"/>
      </w:pPr>
      <w:r>
        <w:t xml:space="preserve">Banking</w:t>
      </w:r>
    </w:p>
    <w:p>
      <w:pPr>
        <w:pStyle w:val="BodyText"/>
      </w:pPr>
      <w:r>
        <w:t xml:space="preserve">30%</w:t>
      </w:r>
    </w:p>
    <w:p>
      <w:pPr>
        <w:pStyle w:val="BodyText"/>
      </w:pPr>
      <w:r>
        <w:t xml:space="preserve">Healthcare</w:t>
      </w:r>
    </w:p>
    <w:p>
      <w:pPr>
        <w:pStyle w:val="BodyText"/>
      </w:pPr>
      <w:r>
        <w:t xml:space="preserve">20%</w:t>
      </w:r>
    </w:p>
    <w:p>
      <w:pPr>
        <w:pStyle w:val="BodyText"/>
      </w:pPr>
      <w:r>
        <w:t xml:space="preserve">Cash</w:t>
      </w:r>
    </w:p>
    <w:p>
      <w:pPr>
        <w:pStyle w:val="BodyText"/>
      </w:pPr>
      <w:r>
        <w:t xml:space="preserve">20%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Engine Calculation</w:t>
      </w:r>
    </w:p>
    <w:p>
      <w:pPr>
        <w:pStyle w:val="BodyText"/>
      </w:pPr>
      <w:r>
        <w:t xml:space="preserve">Determine excess allocation.</w:t>
      </w:r>
    </w:p>
    <w:p>
      <w:pPr>
        <w:pStyle w:val="BodyText"/>
      </w:pPr>
      <w:r>
        <w:t xml:space="preserve">Determine deficit allocation.</w:t>
      </w:r>
    </w:p>
    <w:p>
      <w:pPr>
        <w:pStyle w:val="BodyText"/>
      </w:pPr>
      <w:r>
        <w:t xml:space="preserve">Generate recommendations.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Output</w:t>
      </w:r>
    </w:p>
    <w:p>
      <w:pPr>
        <w:pStyle w:val="BodyText"/>
      </w:pPr>
      <w:r>
        <w:t xml:space="preserve">Sell</w:t>
      </w:r>
    </w:p>
    <w:p>
      <w:pPr>
        <w:pStyle w:val="BodyText"/>
      </w:pPr>
      <w:r>
        <w:t xml:space="preserve">TECH01</w:t>
      </w:r>
    </w:p>
    <w:p>
      <w:pPr>
        <w:pStyle w:val="BodyText"/>
      </w:pPr>
      <w:r>
        <w:t xml:space="preserve">TECH02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Buy</w:t>
      </w:r>
    </w:p>
    <w:p>
      <w:pPr>
        <w:pStyle w:val="BodyText"/>
      </w:pPr>
      <w:r>
        <w:t xml:space="preserve">BANK01</w:t>
      </w:r>
    </w:p>
    <w:p>
      <w:pPr>
        <w:pStyle w:val="BodyText"/>
      </w:pPr>
      <w:r>
        <w:t xml:space="preserve">BANK02</w:t>
      </w:r>
    </w:p>
    <w:p>
      <w:r>
        <w:pict>
          <v:rect style="width:0;height:1.5pt" o:hralign="center" o:hrstd="t" o:hr="t"/>
        </w:pict>
      </w:r>
    </w:p>
    <w:bookmarkEnd w:id="55"/>
    <w:bookmarkStart w:id="56" w:name="rebalancing-strategies"/>
    <w:p>
      <w:pPr>
        <w:pStyle w:val="Heading1"/>
      </w:pPr>
      <w:r>
        <w:t xml:space="preserve">Rebalancing Strategies</w:t>
      </w:r>
    </w:p>
    <w:p>
      <w:pPr>
        <w:pStyle w:val="FirstParagraph"/>
      </w:pPr>
      <w:r>
        <w:t xml:space="preserve">Conservative</w:t>
      </w:r>
    </w:p>
    <w:p>
      <w:pPr>
        <w:pStyle w:val="BodyText"/>
      </w:pPr>
      <w:r>
        <w:t xml:space="preserve">Moderate</w:t>
      </w:r>
    </w:p>
    <w:p>
      <w:pPr>
        <w:pStyle w:val="BodyText"/>
      </w:pPr>
      <w:r>
        <w:t xml:space="preserve">Aggressive</w:t>
      </w:r>
    </w:p>
    <w:p>
      <w:r>
        <w:pict>
          <v:rect style="width:0;height:1.5pt" o:hralign="center" o:hrstd="t" o:hr="t"/>
        </w:pict>
      </w:r>
    </w:p>
    <w:bookmarkEnd w:id="56"/>
    <w:bookmarkStart w:id="57" w:name="risk-alert-engine"/>
    <w:p>
      <w:pPr>
        <w:pStyle w:val="Heading1"/>
      </w:pPr>
      <w:r>
        <w:t xml:space="preserve">9. Risk Alert Engine</w:t>
      </w:r>
    </w:p>
    <w:p>
      <w:pPr>
        <w:pStyle w:val="FirstParagraph"/>
      </w:pPr>
      <w:r>
        <w:t xml:space="preserve">Purpose</w:t>
      </w:r>
    </w:p>
    <w:p>
      <w:pPr>
        <w:pStyle w:val="BodyText"/>
      </w:pPr>
      <w:r>
        <w:t xml:space="preserve">Generate alerts.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Conditions</w:t>
      </w:r>
    </w:p>
    <w:p>
      <w:pPr>
        <w:pStyle w:val="BodyText"/>
      </w:pPr>
      <w:r>
        <w:t xml:space="preserve">VaR Threshold Breached</w:t>
      </w:r>
    </w:p>
    <w:p>
      <w:pPr>
        <w:pStyle w:val="BodyText"/>
      </w:pPr>
      <w:r>
        <w:t xml:space="preserve">Concentration Risk</w:t>
      </w:r>
    </w:p>
    <w:p>
      <w:pPr>
        <w:pStyle w:val="BodyText"/>
      </w:pPr>
      <w:r>
        <w:t xml:space="preserve">Drawdown Exceeded</w:t>
      </w:r>
    </w:p>
    <w:p>
      <w:pPr>
        <w:pStyle w:val="BodyText"/>
      </w:pPr>
      <w:r>
        <w:t xml:space="preserve">High Volatility</w:t>
      </w:r>
    </w:p>
    <w:p>
      <w:pPr>
        <w:pStyle w:val="BodyText"/>
      </w:pPr>
      <w:r>
        <w:t xml:space="preserve">Allocation Drift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Example</w:t>
      </w:r>
    </w:p>
    <w:p>
      <w:pPr>
        <w:pStyle w:val="BodyText"/>
      </w:pPr>
      <w:r>
        <w:t xml:space="preserve">Technology Allocation</w:t>
      </w:r>
    </w:p>
    <w:p>
      <w:pPr>
        <w:pStyle w:val="BodyText"/>
      </w:pPr>
      <w:r>
        <w:t xml:space="preserve">65%</w:t>
      </w:r>
    </w:p>
    <w:p>
      <w:pPr>
        <w:pStyle w:val="BodyText"/>
      </w:pPr>
      <w:r>
        <w:t xml:space="preserve">Threshold</w:t>
      </w:r>
    </w:p>
    <w:p>
      <w:pPr>
        <w:pStyle w:val="BodyText"/>
      </w:pPr>
      <w:r>
        <w:t xml:space="preserve">50%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Alert Created</w:t>
      </w:r>
    </w:p>
    <w:p>
      <w:r>
        <w:pict>
          <v:rect style="width:0;height:1.5pt" o:hralign="center" o:hrstd="t" o:hr="t"/>
        </w:pict>
      </w:r>
    </w:p>
    <w:bookmarkEnd w:id="57"/>
    <w:bookmarkStart w:id="58" w:name="portfolio-health-score"/>
    <w:p>
      <w:pPr>
        <w:pStyle w:val="Heading1"/>
      </w:pPr>
      <w:r>
        <w:t xml:space="preserve">10. Portfolio Health Score</w:t>
      </w:r>
    </w:p>
    <w:p>
      <w:pPr>
        <w:pStyle w:val="FirstParagraph"/>
      </w:pPr>
      <w:r>
        <w:t xml:space="preserve">Purpose</w:t>
      </w:r>
    </w:p>
    <w:p>
      <w:pPr>
        <w:pStyle w:val="BodyText"/>
      </w:pPr>
      <w:r>
        <w:t xml:space="preserve">Provide simple portfolio quality score.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Inputs</w:t>
      </w:r>
    </w:p>
    <w:p>
      <w:pPr>
        <w:pStyle w:val="BodyText"/>
      </w:pPr>
      <w:r>
        <w:t xml:space="preserve">Diversification</w:t>
      </w:r>
    </w:p>
    <w:p>
      <w:pPr>
        <w:pStyle w:val="BodyText"/>
      </w:pPr>
      <w:r>
        <w:t xml:space="preserve">Risk</w:t>
      </w:r>
    </w:p>
    <w:p>
      <w:pPr>
        <w:pStyle w:val="BodyText"/>
      </w:pPr>
      <w:r>
        <w:t xml:space="preserve">Volatility</w:t>
      </w:r>
    </w:p>
    <w:p>
      <w:pPr>
        <w:pStyle w:val="BodyText"/>
      </w:pPr>
      <w:r>
        <w:t xml:space="preserve">Drawdown</w:t>
      </w:r>
    </w:p>
    <w:p>
      <w:pPr>
        <w:pStyle w:val="BodyText"/>
      </w:pPr>
      <w:r>
        <w:t xml:space="preserve">Allocation Balance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Score</w:t>
      </w:r>
    </w:p>
    <w:p>
      <w:pPr>
        <w:pStyle w:val="BodyText"/>
      </w:pPr>
      <w:r>
        <w:t xml:space="preserve">0–100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Categories</w:t>
      </w:r>
    </w:p>
    <w:p>
      <w:pPr>
        <w:pStyle w:val="BodyText"/>
      </w:pPr>
      <w:r>
        <w:t xml:space="preserve">90–100</w:t>
      </w:r>
    </w:p>
    <w:p>
      <w:pPr>
        <w:pStyle w:val="BodyText"/>
      </w:pPr>
      <w:r>
        <w:t xml:space="preserve">Excellent</w:t>
      </w:r>
    </w:p>
    <w:p>
      <w:pPr>
        <w:pStyle w:val="BodyText"/>
      </w:pPr>
      <w:r>
        <w:t xml:space="preserve">75–89</w:t>
      </w:r>
    </w:p>
    <w:p>
      <w:pPr>
        <w:pStyle w:val="BodyText"/>
      </w:pPr>
      <w:r>
        <w:t xml:space="preserve">Good</w:t>
      </w:r>
    </w:p>
    <w:p>
      <w:pPr>
        <w:pStyle w:val="BodyText"/>
      </w:pPr>
      <w:r>
        <w:t xml:space="preserve">60–74</w:t>
      </w:r>
    </w:p>
    <w:p>
      <w:pPr>
        <w:pStyle w:val="BodyText"/>
      </w:pPr>
      <w:r>
        <w:t xml:space="preserve">Average</w:t>
      </w:r>
    </w:p>
    <w:p>
      <w:pPr>
        <w:pStyle w:val="BodyText"/>
      </w:pPr>
      <w:r>
        <w:t xml:space="preserve">Below 60</w:t>
      </w:r>
    </w:p>
    <w:p>
      <w:pPr>
        <w:pStyle w:val="BodyText"/>
      </w:pPr>
      <w:r>
        <w:t xml:space="preserve">Needs Attention</w:t>
      </w:r>
    </w:p>
    <w:p>
      <w:r>
        <w:pict>
          <v:rect style="width:0;height:1.5pt" o:hralign="center" o:hrstd="t" o:hr="t"/>
        </w:pict>
      </w:r>
    </w:p>
    <w:bookmarkEnd w:id="58"/>
    <w:bookmarkStart w:id="59" w:name="execution-model"/>
    <w:p>
      <w:pPr>
        <w:pStyle w:val="Heading1"/>
      </w:pPr>
      <w:r>
        <w:t xml:space="preserve">11. Execution Model</w:t>
      </w:r>
    </w:p>
    <w:p>
      <w:pPr>
        <w:pStyle w:val="FirstParagraph"/>
      </w:pPr>
      <w:r>
        <w:t xml:space="preserve">Daily Schedule</w:t>
      </w:r>
    </w:p>
    <w:p>
      <w:pPr>
        <w:pStyle w:val="BodyText"/>
      </w:pPr>
      <w:r>
        <w:t xml:space="preserve">01:00</w:t>
      </w:r>
    </w:p>
    <w:p>
      <w:pPr>
        <w:pStyle w:val="BodyText"/>
      </w:pPr>
      <w:r>
        <w:t xml:space="preserve">Market Simulation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02:00</w:t>
      </w:r>
    </w:p>
    <w:p>
      <w:pPr>
        <w:pStyle w:val="BodyText"/>
      </w:pPr>
      <w:r>
        <w:t xml:space="preserve">Portfolio Valuation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03:00</w:t>
      </w:r>
    </w:p>
    <w:p>
      <w:pPr>
        <w:pStyle w:val="BodyText"/>
      </w:pPr>
      <w:r>
        <w:t xml:space="preserve">Performance Analytics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04:00</w:t>
      </w:r>
    </w:p>
    <w:p>
      <w:pPr>
        <w:pStyle w:val="BodyText"/>
      </w:pPr>
      <w:r>
        <w:t xml:space="preserve">Risk Analytics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05:00</w:t>
      </w:r>
    </w:p>
    <w:p>
      <w:pPr>
        <w:pStyle w:val="BodyText"/>
      </w:pPr>
      <w:r>
        <w:t xml:space="preserve">Stress Test Evaluation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06:00</w:t>
      </w:r>
    </w:p>
    <w:p>
      <w:pPr>
        <w:pStyle w:val="BodyText"/>
      </w:pPr>
      <w:r>
        <w:t xml:space="preserve">Alert Generation</w:t>
      </w:r>
    </w:p>
    <w:p>
      <w:r>
        <w:pict>
          <v:rect style="width:0;height:1.5pt" o:hralign="center" o:hrstd="t" o:hr="t"/>
        </w:pict>
      </w:r>
    </w:p>
    <w:bookmarkEnd w:id="59"/>
    <w:bookmarkStart w:id="60" w:name="data-storage-strategy"/>
    <w:p>
      <w:pPr>
        <w:pStyle w:val="Heading1"/>
      </w:pPr>
      <w:r>
        <w:t xml:space="preserve">12. Data Storage Strategy</w:t>
      </w:r>
    </w:p>
    <w:p>
      <w:pPr>
        <w:pStyle w:val="FirstParagraph"/>
      </w:pPr>
      <w:r>
        <w:t xml:space="preserve">Raw Data</w:t>
      </w:r>
    </w:p>
    <w:p>
      <w:pPr>
        <w:pStyle w:val="BodyText"/>
      </w:pPr>
      <w:r>
        <w:t xml:space="preserve">asset_price_history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Portfolio Metrics</w:t>
      </w:r>
    </w:p>
    <w:p>
      <w:pPr>
        <w:pStyle w:val="BodyText"/>
      </w:pPr>
      <w:r>
        <w:t xml:space="preserve">portfolio_snapshots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Risk Metrics</w:t>
      </w:r>
    </w:p>
    <w:p>
      <w:pPr>
        <w:pStyle w:val="BodyText"/>
      </w:pPr>
      <w:r>
        <w:t xml:space="preserve">risk_metrics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Alerts</w:t>
      </w:r>
    </w:p>
    <w:p>
      <w:pPr>
        <w:pStyle w:val="BodyText"/>
      </w:pPr>
      <w:r>
        <w:t xml:space="preserve">risk_alerts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Reports</w:t>
      </w:r>
    </w:p>
    <w:p>
      <w:pPr>
        <w:pStyle w:val="BodyText"/>
      </w:pPr>
      <w:r>
        <w:t xml:space="preserve">generated_reports</w:t>
      </w:r>
    </w:p>
    <w:p>
      <w:r>
        <w:pict>
          <v:rect style="width:0;height:1.5pt" o:hralign="center" o:hrstd="t" o:hr="t"/>
        </w:pict>
      </w:r>
    </w:p>
    <w:bookmarkEnd w:id="60"/>
    <w:bookmarkStart w:id="61" w:name="future-enhancements"/>
    <w:p>
      <w:pPr>
        <w:pStyle w:val="Heading1"/>
      </w:pPr>
      <w:r>
        <w:t xml:space="preserve">13. Future Enhancements</w:t>
      </w:r>
    </w:p>
    <w:p>
      <w:pPr>
        <w:pStyle w:val="FirstParagraph"/>
      </w:pPr>
      <w:r>
        <w:t xml:space="preserve">Machine Learning Risk Models</w:t>
      </w:r>
    </w:p>
    <w:p>
      <w:pPr>
        <w:pStyle w:val="BodyText"/>
      </w:pPr>
      <w:r>
        <w:t xml:space="preserve">Monte Carlo Simulations</w:t>
      </w:r>
    </w:p>
    <w:p>
      <w:pPr>
        <w:pStyle w:val="BodyText"/>
      </w:pPr>
      <w:r>
        <w:t xml:space="preserve">Portfolio Optimization Models</w:t>
      </w:r>
    </w:p>
    <w:p>
      <w:pPr>
        <w:pStyle w:val="BodyText"/>
      </w:pPr>
      <w:r>
        <w:t xml:space="preserve">AI Investment Advisor</w:t>
      </w:r>
    </w:p>
    <w:p>
      <w:pPr>
        <w:pStyle w:val="BodyText"/>
      </w:pPr>
      <w:r>
        <w:t xml:space="preserve">Market Sentiment Analysis</w:t>
      </w:r>
    </w:p>
    <w:p>
      <w:pPr>
        <w:pStyle w:val="BodyText"/>
      </w:pPr>
      <w:r>
        <w:t xml:space="preserve">Alternative Asset Classes</w:t>
      </w:r>
    </w:p>
    <w:p>
      <w:pPr>
        <w:pStyle w:val="BodyText"/>
      </w:pPr>
      <w:r>
        <w:t xml:space="preserve">Real Market Data Integration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End of LLD Part 3</w:t>
      </w:r>
    </w:p>
    <w:bookmarkEnd w:id="6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2026-06-02T05:34:07Z</dcterms:created>
  <dcterms:modified xsi:type="dcterms:W3CDTF">2026-06-02T05:34:07Z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