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Management Policy</w:t>
      </w:r>
    </w:p>
    <w:p>
      <w:r>
        <w:t>Policy owner: Kavita Menon. Effective from 1 April 2026.</w:t>
      </w:r>
    </w:p>
    <w:p>
      <w:r>
        <w:t>Vendor payments are released within 5 working days of invoice approval.</w:t>
      </w:r>
    </w:p>
    <w:p>
      <w:r>
        <w:t>Purchases above INR 5,00,000 need CFO approval.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Vendor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Approved until</w:t>
            </w:r>
          </w:p>
        </w:tc>
      </w:tr>
      <w:tr>
        <w:tc>
          <w:tcPr>
            <w:tcW w:type="dxa" w:w="2880"/>
          </w:tcPr>
          <w:p>
            <w:r>
              <w:t>Stellar Print House</w:t>
            </w:r>
          </w:p>
        </w:tc>
        <w:tc>
          <w:tcPr>
            <w:tcW w:type="dxa" w:w="2880"/>
          </w:tcPr>
          <w:p>
            <w:r>
              <w:t>Printing</w:t>
            </w:r>
          </w:p>
        </w:tc>
        <w:tc>
          <w:tcPr>
            <w:tcW w:type="dxa" w:w="2880"/>
          </w:tcPr>
          <w:p>
            <w:r>
              <w:t>31 December 2026</w:t>
            </w:r>
          </w:p>
        </w:tc>
      </w:tr>
      <w:tr>
        <w:tc>
          <w:tcPr>
            <w:tcW w:type="dxa" w:w="2880"/>
          </w:tcPr>
          <w:p>
            <w:r>
              <w:t>Apex Couriers</w:t>
            </w:r>
          </w:p>
        </w:tc>
        <w:tc>
          <w:tcPr>
            <w:tcW w:type="dxa" w:w="2880"/>
          </w:tcPr>
          <w:p>
            <w:r>
              <w:t>Logistics</w:t>
            </w:r>
          </w:p>
        </w:tc>
        <w:tc>
          <w:tcPr>
            <w:tcW w:type="dxa" w:w="2880"/>
          </w:tcPr>
          <w:p>
            <w:r>
              <w:t>30 June 2027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