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815D8" w14:textId="77777777" w:rsidR="00187CA0" w:rsidRPr="009B12E7" w:rsidRDefault="00187CA0" w:rsidP="00187CA0">
      <w:pPr>
        <w:spacing w:line="480" w:lineRule="auto"/>
        <w:jc w:val="center"/>
        <w:rPr>
          <w:rFonts w:ascii="Times New Roman" w:hAnsi="Times New Roman" w:cs="Times New Roman"/>
          <w:b/>
          <w:bCs/>
        </w:rPr>
      </w:pPr>
    </w:p>
    <w:p w14:paraId="0282C2EB" w14:textId="77777777" w:rsidR="00187CA0" w:rsidRPr="009B12E7" w:rsidRDefault="00187CA0" w:rsidP="00187CA0">
      <w:pPr>
        <w:spacing w:line="480" w:lineRule="auto"/>
        <w:jc w:val="center"/>
        <w:rPr>
          <w:rFonts w:ascii="Times New Roman" w:hAnsi="Times New Roman" w:cs="Times New Roman"/>
          <w:b/>
          <w:bCs/>
        </w:rPr>
      </w:pPr>
    </w:p>
    <w:p w14:paraId="5AB3CDCB" w14:textId="77777777" w:rsidR="00187CA0" w:rsidRPr="009B12E7" w:rsidRDefault="00187CA0" w:rsidP="00187CA0">
      <w:pPr>
        <w:spacing w:line="480" w:lineRule="auto"/>
        <w:jc w:val="center"/>
        <w:rPr>
          <w:rFonts w:ascii="Times New Roman" w:hAnsi="Times New Roman" w:cs="Times New Roman"/>
          <w:b/>
          <w:bCs/>
        </w:rPr>
      </w:pPr>
    </w:p>
    <w:p w14:paraId="52E2A105" w14:textId="77777777" w:rsidR="00187CA0" w:rsidRPr="009B12E7" w:rsidRDefault="00187CA0" w:rsidP="00187CA0">
      <w:pPr>
        <w:spacing w:line="480" w:lineRule="auto"/>
        <w:jc w:val="center"/>
        <w:rPr>
          <w:rFonts w:ascii="Times New Roman" w:hAnsi="Times New Roman" w:cs="Times New Roman"/>
          <w:b/>
          <w:bCs/>
        </w:rPr>
      </w:pPr>
    </w:p>
    <w:p w14:paraId="78913194" w14:textId="77777777" w:rsidR="00187CA0" w:rsidRPr="009B12E7" w:rsidRDefault="00187CA0" w:rsidP="00187CA0">
      <w:pPr>
        <w:spacing w:line="480" w:lineRule="auto"/>
        <w:jc w:val="center"/>
        <w:rPr>
          <w:rFonts w:ascii="Times New Roman" w:hAnsi="Times New Roman" w:cs="Times New Roman"/>
          <w:b/>
          <w:bCs/>
        </w:rPr>
      </w:pPr>
    </w:p>
    <w:p w14:paraId="1863DE66" w14:textId="77777777" w:rsidR="00187CA0" w:rsidRPr="009B12E7" w:rsidRDefault="00187CA0" w:rsidP="00187CA0">
      <w:pPr>
        <w:spacing w:line="480" w:lineRule="auto"/>
        <w:jc w:val="center"/>
        <w:rPr>
          <w:rFonts w:ascii="Times New Roman" w:hAnsi="Times New Roman" w:cs="Times New Roman"/>
          <w:b/>
          <w:bCs/>
        </w:rPr>
      </w:pPr>
    </w:p>
    <w:p w14:paraId="3DE1EC84" w14:textId="481C9618" w:rsidR="004903B9" w:rsidRPr="009B12E7" w:rsidRDefault="00831ECA" w:rsidP="00AF1B1F">
      <w:pPr>
        <w:spacing w:line="480" w:lineRule="auto"/>
        <w:jc w:val="center"/>
        <w:rPr>
          <w:rFonts w:ascii="Times New Roman" w:hAnsi="Times New Roman" w:cs="Times New Roman"/>
          <w:b/>
          <w:bCs/>
        </w:rPr>
      </w:pPr>
      <w:r w:rsidRPr="009B12E7">
        <w:rPr>
          <w:rFonts w:ascii="Times New Roman" w:hAnsi="Times New Roman" w:cs="Times New Roman"/>
          <w:b/>
          <w:bCs/>
        </w:rPr>
        <w:t>Requirements Definition</w:t>
      </w:r>
      <w:r w:rsidR="00F21FE0">
        <w:rPr>
          <w:rFonts w:ascii="Times New Roman" w:hAnsi="Times New Roman" w:cs="Times New Roman"/>
          <w:b/>
          <w:bCs/>
        </w:rPr>
        <w:t>:</w:t>
      </w:r>
      <w:r w:rsidR="00D67F42" w:rsidRPr="009B12E7">
        <w:rPr>
          <w:rFonts w:ascii="Times New Roman" w:hAnsi="Times New Roman" w:cs="Times New Roman"/>
          <w:b/>
          <w:bCs/>
        </w:rPr>
        <w:t xml:space="preserve"> </w:t>
      </w:r>
      <w:r w:rsidR="009435EA" w:rsidRPr="009435EA">
        <w:rPr>
          <w:rFonts w:ascii="Times New Roman" w:hAnsi="Times New Roman" w:cs="Times New Roman"/>
          <w:b/>
          <w:bCs/>
        </w:rPr>
        <w:t>Workflow Sentinel –Python-Based Automation Governance and</w:t>
      </w:r>
      <w:r w:rsidR="00AF1B1F">
        <w:rPr>
          <w:rFonts w:ascii="Times New Roman" w:hAnsi="Times New Roman" w:cs="Times New Roman"/>
          <w:b/>
          <w:bCs/>
        </w:rPr>
        <w:t xml:space="preserve"> </w:t>
      </w:r>
      <w:r w:rsidR="009435EA" w:rsidRPr="009435EA">
        <w:rPr>
          <w:rFonts w:ascii="Times New Roman" w:hAnsi="Times New Roman" w:cs="Times New Roman"/>
          <w:b/>
          <w:bCs/>
        </w:rPr>
        <w:t>Risk</w:t>
      </w:r>
      <w:r w:rsidR="00AF1B1F">
        <w:rPr>
          <w:rFonts w:ascii="Times New Roman" w:hAnsi="Times New Roman" w:cs="Times New Roman"/>
          <w:b/>
          <w:bCs/>
        </w:rPr>
        <w:t xml:space="preserve"> </w:t>
      </w:r>
      <w:r w:rsidR="009435EA" w:rsidRPr="009435EA">
        <w:rPr>
          <w:rFonts w:ascii="Times New Roman" w:hAnsi="Times New Roman" w:cs="Times New Roman"/>
          <w:b/>
          <w:bCs/>
        </w:rPr>
        <w:t>Analyzer</w:t>
      </w:r>
    </w:p>
    <w:p w14:paraId="495BCF08" w14:textId="7B949008" w:rsidR="00010FB9" w:rsidRPr="009B12E7" w:rsidRDefault="00B9681B" w:rsidP="00831ECA">
      <w:pPr>
        <w:spacing w:line="480" w:lineRule="auto"/>
        <w:jc w:val="center"/>
        <w:rPr>
          <w:rFonts w:ascii="Times New Roman" w:hAnsi="Times New Roman" w:cs="Times New Roman"/>
          <w:b/>
          <w:bCs/>
        </w:rPr>
      </w:pPr>
      <w:r>
        <w:rPr>
          <w:rFonts w:ascii="Times New Roman" w:hAnsi="Times New Roman" w:cs="Times New Roman"/>
          <w:b/>
          <w:bCs/>
        </w:rPr>
        <w:t>Manideep Gujju</w:t>
      </w:r>
      <w:r w:rsidR="00010FB9" w:rsidRPr="009B12E7">
        <w:rPr>
          <w:rFonts w:ascii="Times New Roman" w:hAnsi="Times New Roman" w:cs="Times New Roman"/>
          <w:b/>
          <w:bCs/>
        </w:rPr>
        <w:t>, Systems Analyst</w:t>
      </w:r>
    </w:p>
    <w:p w14:paraId="054ED47E" w14:textId="60F732FE" w:rsidR="00CB52EA" w:rsidRPr="009B12E7" w:rsidRDefault="00027E90" w:rsidP="00EA37E2">
      <w:pPr>
        <w:spacing w:line="480" w:lineRule="auto"/>
        <w:jc w:val="center"/>
        <w:rPr>
          <w:rFonts w:ascii="Times New Roman" w:hAnsi="Times New Roman" w:cs="Times New Roman"/>
          <w:b/>
          <w:bCs/>
        </w:rPr>
      </w:pPr>
      <w:r w:rsidRPr="009B12E7">
        <w:rPr>
          <w:rFonts w:ascii="Times New Roman" w:hAnsi="Times New Roman" w:cs="Times New Roman"/>
          <w:b/>
          <w:bCs/>
        </w:rPr>
        <w:t>COMP-699-</w:t>
      </w:r>
      <w:r w:rsidR="00941F8E" w:rsidRPr="009B12E7">
        <w:rPr>
          <w:rFonts w:ascii="Times New Roman" w:hAnsi="Times New Roman" w:cs="Times New Roman"/>
          <w:b/>
          <w:bCs/>
        </w:rPr>
        <w:t>D</w:t>
      </w:r>
      <w:r w:rsidRPr="009B12E7">
        <w:rPr>
          <w:rFonts w:ascii="Times New Roman" w:hAnsi="Times New Roman" w:cs="Times New Roman"/>
          <w:b/>
          <w:bCs/>
        </w:rPr>
        <w:t xml:space="preserve"> Professional Seminar</w:t>
      </w:r>
    </w:p>
    <w:p w14:paraId="078B70F8" w14:textId="37D2931A" w:rsidR="00187CA0" w:rsidRPr="009B12E7" w:rsidRDefault="00831ECA" w:rsidP="00187CA0">
      <w:pPr>
        <w:spacing w:line="480" w:lineRule="auto"/>
        <w:jc w:val="center"/>
        <w:rPr>
          <w:rFonts w:ascii="Times New Roman" w:hAnsi="Times New Roman" w:cs="Times New Roman"/>
          <w:b/>
          <w:bCs/>
        </w:rPr>
      </w:pPr>
      <w:r w:rsidRPr="009B12E7">
        <w:rPr>
          <w:rFonts w:ascii="Times New Roman" w:hAnsi="Times New Roman" w:cs="Times New Roman"/>
          <w:b/>
          <w:bCs/>
        </w:rPr>
        <w:t>February</w:t>
      </w:r>
      <w:r w:rsidR="00187CA0" w:rsidRPr="009B12E7">
        <w:rPr>
          <w:rFonts w:ascii="Times New Roman" w:hAnsi="Times New Roman" w:cs="Times New Roman"/>
          <w:b/>
          <w:bCs/>
        </w:rPr>
        <w:t xml:space="preserve"> </w:t>
      </w:r>
      <w:r w:rsidRPr="009B12E7">
        <w:rPr>
          <w:rFonts w:ascii="Times New Roman" w:hAnsi="Times New Roman" w:cs="Times New Roman"/>
          <w:b/>
          <w:bCs/>
        </w:rPr>
        <w:t>0</w:t>
      </w:r>
      <w:r w:rsidR="00423786">
        <w:rPr>
          <w:rFonts w:ascii="Times New Roman" w:hAnsi="Times New Roman" w:cs="Times New Roman"/>
          <w:b/>
          <w:bCs/>
        </w:rPr>
        <w:t>9</w:t>
      </w:r>
      <w:r w:rsidR="00187CA0" w:rsidRPr="009B12E7">
        <w:rPr>
          <w:rFonts w:ascii="Times New Roman" w:hAnsi="Times New Roman" w:cs="Times New Roman"/>
          <w:b/>
          <w:bCs/>
        </w:rPr>
        <w:t>, 2026</w:t>
      </w:r>
    </w:p>
    <w:p w14:paraId="33466D8F" w14:textId="77777777" w:rsidR="00187CA0" w:rsidRPr="009B12E7" w:rsidRDefault="00187CA0" w:rsidP="00187CA0">
      <w:pPr>
        <w:spacing w:line="480" w:lineRule="auto"/>
        <w:rPr>
          <w:rFonts w:ascii="Times New Roman" w:hAnsi="Times New Roman" w:cs="Times New Roman"/>
          <w:b/>
          <w:bCs/>
        </w:rPr>
      </w:pPr>
    </w:p>
    <w:p w14:paraId="12E97E12" w14:textId="77777777" w:rsidR="00187CA0" w:rsidRPr="009B12E7" w:rsidRDefault="00187CA0" w:rsidP="00187CA0">
      <w:pPr>
        <w:spacing w:line="480" w:lineRule="auto"/>
        <w:rPr>
          <w:rFonts w:ascii="Times New Roman" w:hAnsi="Times New Roman" w:cs="Times New Roman"/>
          <w:b/>
          <w:bCs/>
        </w:rPr>
      </w:pPr>
    </w:p>
    <w:p w14:paraId="74FE3450" w14:textId="77777777" w:rsidR="00187CA0" w:rsidRPr="009B12E7" w:rsidRDefault="00187CA0" w:rsidP="00187CA0">
      <w:pPr>
        <w:spacing w:line="480" w:lineRule="auto"/>
        <w:rPr>
          <w:rFonts w:ascii="Times New Roman" w:hAnsi="Times New Roman" w:cs="Times New Roman"/>
          <w:b/>
          <w:bCs/>
        </w:rPr>
      </w:pPr>
    </w:p>
    <w:p w14:paraId="7C634311" w14:textId="77777777" w:rsidR="00187CA0" w:rsidRPr="009B12E7" w:rsidRDefault="00187CA0" w:rsidP="00187CA0">
      <w:pPr>
        <w:spacing w:line="480" w:lineRule="auto"/>
        <w:rPr>
          <w:rFonts w:ascii="Times New Roman" w:hAnsi="Times New Roman" w:cs="Times New Roman"/>
          <w:b/>
          <w:bCs/>
        </w:rPr>
      </w:pPr>
    </w:p>
    <w:p w14:paraId="2EF5664B" w14:textId="77777777" w:rsidR="00187CA0" w:rsidRPr="009B12E7" w:rsidRDefault="00187CA0" w:rsidP="00187CA0">
      <w:pPr>
        <w:spacing w:line="480" w:lineRule="auto"/>
        <w:rPr>
          <w:rFonts w:ascii="Times New Roman" w:hAnsi="Times New Roman" w:cs="Times New Roman"/>
          <w:b/>
          <w:bCs/>
        </w:rPr>
      </w:pPr>
    </w:p>
    <w:p w14:paraId="4C485BA4" w14:textId="77777777" w:rsidR="000A5824" w:rsidRPr="009B12E7" w:rsidRDefault="000A5824" w:rsidP="00187CA0">
      <w:pPr>
        <w:spacing w:line="480" w:lineRule="auto"/>
        <w:rPr>
          <w:rFonts w:ascii="Times New Roman" w:hAnsi="Times New Roman" w:cs="Times New Roman"/>
          <w:b/>
          <w:bCs/>
        </w:rPr>
      </w:pPr>
    </w:p>
    <w:p w14:paraId="16FC22DA" w14:textId="77777777" w:rsidR="00187CA0" w:rsidRPr="009B12E7" w:rsidRDefault="00187CA0" w:rsidP="00187CA0">
      <w:pPr>
        <w:spacing w:line="480" w:lineRule="auto"/>
        <w:rPr>
          <w:rFonts w:ascii="Times New Roman" w:hAnsi="Times New Roman" w:cs="Times New Roman"/>
          <w:b/>
          <w:bCs/>
        </w:rPr>
      </w:pPr>
    </w:p>
    <w:p w14:paraId="2F5DF604" w14:textId="77777777" w:rsidR="00CB52EA" w:rsidRPr="009B12E7" w:rsidRDefault="00CB52EA" w:rsidP="00187CA0">
      <w:pPr>
        <w:spacing w:line="480" w:lineRule="auto"/>
        <w:rPr>
          <w:rFonts w:ascii="Times New Roman" w:hAnsi="Times New Roman" w:cs="Times New Roman"/>
          <w:b/>
          <w:bCs/>
        </w:rPr>
      </w:pPr>
    </w:p>
    <w:p w14:paraId="45EF793C" w14:textId="2B43D07F" w:rsidR="00187CA0" w:rsidRPr="009B12E7" w:rsidRDefault="00187CA0" w:rsidP="00187CA0">
      <w:pPr>
        <w:spacing w:line="480" w:lineRule="auto"/>
        <w:rPr>
          <w:rFonts w:ascii="Times New Roman" w:hAnsi="Times New Roman" w:cs="Times New Roman"/>
          <w:b/>
          <w:bCs/>
        </w:rPr>
      </w:pPr>
      <w:r w:rsidRPr="009B12E7">
        <w:rPr>
          <w:rFonts w:ascii="Times New Roman" w:hAnsi="Times New Roman" w:cs="Times New Roman"/>
          <w:b/>
          <w:bCs/>
        </w:rPr>
        <w:lastRenderedPageBreak/>
        <w:t>1. Company Background</w:t>
      </w:r>
    </w:p>
    <w:p w14:paraId="141E8982" w14:textId="77777777" w:rsidR="00D8155F" w:rsidRPr="00D8155F" w:rsidRDefault="00D8155F" w:rsidP="00D8155F">
      <w:pPr>
        <w:spacing w:line="480" w:lineRule="auto"/>
        <w:rPr>
          <w:rFonts w:ascii="Times New Roman" w:hAnsi="Times New Roman" w:cs="Times New Roman"/>
        </w:rPr>
      </w:pPr>
      <w:r w:rsidRPr="00D8155F">
        <w:rPr>
          <w:rFonts w:ascii="Times New Roman" w:hAnsi="Times New Roman" w:cs="Times New Roman"/>
        </w:rPr>
        <w:t>Workflow Sentinel Solutions is a technology-focused organization specializing in automation governance, workflow analysis, and risk assessment for modern digital business processes. The company supports organizations that rely heavily on automation platforms to streamline operations, reduce manual effort, and improve efficiency across departments. As automation adoption increases, Workflow Sentinel Solutions focuses on ensuring that automated processes remain transparent, accountable, compliant, and aligned with organizational policies.</w:t>
      </w:r>
    </w:p>
    <w:p w14:paraId="728E0648" w14:textId="77777777" w:rsidR="00D8155F" w:rsidRPr="00D8155F" w:rsidRDefault="00D8155F" w:rsidP="00D8155F">
      <w:pPr>
        <w:spacing w:line="480" w:lineRule="auto"/>
        <w:rPr>
          <w:rFonts w:ascii="Times New Roman" w:hAnsi="Times New Roman" w:cs="Times New Roman"/>
        </w:rPr>
      </w:pPr>
      <w:r w:rsidRPr="00D8155F">
        <w:rPr>
          <w:rFonts w:ascii="Times New Roman" w:hAnsi="Times New Roman" w:cs="Times New Roman"/>
        </w:rPr>
        <w:t>The company works with businesses that design and deploy complex automation workflows involving approvals, notifications, data transfers, and system integrations. These workflows often span multiple owners, execute under different conditions, and operate at varying frequencies. As workflows grow in size and complexity, organizations face challenges in understanding execution intent, identifying hidden dependencies, and detecting potential risks before workflows are deployed or modified.</w:t>
      </w:r>
    </w:p>
    <w:p w14:paraId="4D93F1FD" w14:textId="77777777" w:rsidR="00D8155F" w:rsidRPr="00D8155F" w:rsidRDefault="00D8155F" w:rsidP="00D8155F">
      <w:pPr>
        <w:spacing w:line="480" w:lineRule="auto"/>
        <w:rPr>
          <w:rFonts w:ascii="Times New Roman" w:hAnsi="Times New Roman" w:cs="Times New Roman"/>
        </w:rPr>
      </w:pPr>
      <w:r w:rsidRPr="00D8155F">
        <w:rPr>
          <w:rFonts w:ascii="Times New Roman" w:hAnsi="Times New Roman" w:cs="Times New Roman"/>
        </w:rPr>
        <w:t>Workflow Sentinel Solutions addresses these challenges by providing offline analytical tools that evaluate automation workflows prior to execution. The organization emphasizes governance-first automation by enabling detailed inspection of workflow structure, execution logic, and decision paths. This approach helps organizations prevent unintended behavior, policy violations, and operational conflicts that are difficult to detect through visual inspection alone.</w:t>
      </w:r>
    </w:p>
    <w:p w14:paraId="3FB75E3D" w14:textId="77777777" w:rsidR="00D8155F" w:rsidRPr="00D8155F" w:rsidRDefault="00D8155F" w:rsidP="00D8155F">
      <w:pPr>
        <w:spacing w:line="480" w:lineRule="auto"/>
        <w:rPr>
          <w:rFonts w:ascii="Times New Roman" w:hAnsi="Times New Roman" w:cs="Times New Roman"/>
        </w:rPr>
      </w:pPr>
      <w:r w:rsidRPr="00D8155F">
        <w:rPr>
          <w:rFonts w:ascii="Times New Roman" w:hAnsi="Times New Roman" w:cs="Times New Roman"/>
        </w:rPr>
        <w:t xml:space="preserve">A key focus of the company is accountability and explainability. Workflow Sentinel Solutions enables organizations to assign ownership to workflows and individual workflow steps, trace decision logic, and generate audit-ready documentation. These capabilities are particularly </w:t>
      </w:r>
      <w:r w:rsidRPr="00D8155F">
        <w:rPr>
          <w:rFonts w:ascii="Times New Roman" w:hAnsi="Times New Roman" w:cs="Times New Roman"/>
        </w:rPr>
        <w:lastRenderedPageBreak/>
        <w:t>valuable in regulated environments where compliance, traceability, and risk management are critical.</w:t>
      </w:r>
    </w:p>
    <w:p w14:paraId="78A71024" w14:textId="77777777" w:rsidR="00D8155F" w:rsidRPr="00D8155F" w:rsidRDefault="00D8155F" w:rsidP="00D8155F">
      <w:pPr>
        <w:spacing w:line="480" w:lineRule="auto"/>
        <w:rPr>
          <w:rFonts w:ascii="Times New Roman" w:hAnsi="Times New Roman" w:cs="Times New Roman"/>
        </w:rPr>
      </w:pPr>
      <w:r w:rsidRPr="00D8155F">
        <w:rPr>
          <w:rFonts w:ascii="Times New Roman" w:hAnsi="Times New Roman" w:cs="Times New Roman"/>
        </w:rPr>
        <w:t>The company also supports optimization and continuous improvement initiatives by allowing stakeholders to simulate alternative execution scenarios and evaluate the impact of changes before implementation. By combining workflow modeling, governance rules, and risk analysis into a single offline platform, Workflow Sentinel Solutions helps organizations improve reliability, reduce operational risk, and build confidence in their automation strategies.</w:t>
      </w:r>
    </w:p>
    <w:p w14:paraId="0DBF85E5" w14:textId="77777777" w:rsidR="00010FB9" w:rsidRPr="009B12E7" w:rsidRDefault="00010FB9" w:rsidP="00010FB9">
      <w:pPr>
        <w:spacing w:line="480" w:lineRule="auto"/>
        <w:rPr>
          <w:rFonts w:ascii="Times New Roman" w:hAnsi="Times New Roman" w:cs="Times New Roman"/>
          <w:b/>
          <w:bCs/>
        </w:rPr>
      </w:pPr>
      <w:r w:rsidRPr="009B12E7">
        <w:rPr>
          <w:rFonts w:ascii="Times New Roman" w:hAnsi="Times New Roman" w:cs="Times New Roman"/>
          <w:b/>
          <w:bCs/>
        </w:rPr>
        <w:t>2. Requirements Definition</w:t>
      </w:r>
    </w:p>
    <w:p w14:paraId="3E52D2F4" w14:textId="7F4F2680" w:rsidR="00E2350A" w:rsidRPr="009B12E7" w:rsidRDefault="00010FB9" w:rsidP="00E2350A">
      <w:pPr>
        <w:spacing w:line="480" w:lineRule="auto"/>
        <w:rPr>
          <w:rFonts w:ascii="Times New Roman" w:hAnsi="Times New Roman" w:cs="Times New Roman"/>
          <w:b/>
          <w:bCs/>
        </w:rPr>
      </w:pPr>
      <w:r w:rsidRPr="009B12E7">
        <w:rPr>
          <w:rFonts w:ascii="Times New Roman" w:hAnsi="Times New Roman" w:cs="Times New Roman"/>
          <w:b/>
          <w:bCs/>
        </w:rPr>
        <w:t xml:space="preserve">2.1 </w:t>
      </w:r>
      <w:r w:rsidR="00E2350A" w:rsidRPr="009B12E7">
        <w:rPr>
          <w:rFonts w:ascii="Times New Roman" w:hAnsi="Times New Roman" w:cs="Times New Roman"/>
          <w:b/>
          <w:bCs/>
        </w:rPr>
        <w:t>User Requirements</w:t>
      </w:r>
    </w:p>
    <w:p w14:paraId="008F687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upload exported Power Automate workflow artifacts in JSON or XML format into the system for analysis.</w:t>
      </w:r>
    </w:p>
    <w:p w14:paraId="18A7DB7A"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select one or more uploaded workflows to be analyzed as a single execution set.</w:t>
      </w:r>
    </w:p>
    <w:p w14:paraId="7A9B91EA"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define execution assumptions, including start time, trigger conditions, and execution frequency for a workflow.</w:t>
      </w:r>
    </w:p>
    <w:p w14:paraId="3D39A4FF"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assign ownership and accountability metadata to each workflow and individual workflow step.</w:t>
      </w:r>
    </w:p>
    <w:p w14:paraId="677BAAE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classify workflow steps by business purpose, such as notification, data movement, approval, or transformation.</w:t>
      </w:r>
    </w:p>
    <w:p w14:paraId="0E58E2E0"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view a parsed representation of workflow steps and their dependencies as a directed graph.</w:t>
      </w:r>
    </w:p>
    <w:p w14:paraId="03045544"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lastRenderedPageBreak/>
        <w:t>A Governance Analyst can identify sequential, parallel, and conditional execution paths within a workflow.</w:t>
      </w:r>
    </w:p>
    <w:p w14:paraId="5847B36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define governance rules that restrict workflow execution based on ownership, timing, or resource usage.</w:t>
      </w:r>
    </w:p>
    <w:p w14:paraId="51BB0609"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define conflict rules that detect incompatible actions between parallel or dependent workflow steps.</w:t>
      </w:r>
    </w:p>
    <w:p w14:paraId="0EE362E9"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initiate an offline simulation of a workflow to evaluate execution order and state transitions.</w:t>
      </w:r>
    </w:p>
    <w:p w14:paraId="44563DBD"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simulate alternative execution scenarios by modifying triggers, conditions, or dependencies.</w:t>
      </w:r>
    </w:p>
    <w:p w14:paraId="3B8B653C"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evaluate workflow execution intent to determine whether actions align with defined governance policies.</w:t>
      </w:r>
    </w:p>
    <w:p w14:paraId="6DB78603"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generate a risk score for each workflow based on rule violations, dependency complexity, and execution assumptions.</w:t>
      </w:r>
    </w:p>
    <w:p w14:paraId="349D0B6A"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view risk propagation across dependent workflow steps.</w:t>
      </w:r>
    </w:p>
    <w:p w14:paraId="07CBB1C3"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identify workflow steps that violate timing constraints or execution order rules.</w:t>
      </w:r>
    </w:p>
    <w:p w14:paraId="2C6F278F"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detect unused, unreachable, or redundant workflow steps within a workflow.</w:t>
      </w:r>
    </w:p>
    <w:p w14:paraId="3F4D68C0"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evaluate resource usage assumptions, including frequency and concurrency of workflow execution.</w:t>
      </w:r>
    </w:p>
    <w:p w14:paraId="17B85263"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lastRenderedPageBreak/>
        <w:t>A Governance Analyst can generate an audit trail that explains why a workflow step was flagged as high risk.</w:t>
      </w:r>
    </w:p>
    <w:p w14:paraId="153D6221"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compare multiple workflows to identify shared steps, shared resources, or shared risks.</w:t>
      </w:r>
    </w:p>
    <w:p w14:paraId="6EEA4E5F"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validate workflows against predefined compliance rules before approval.</w:t>
      </w:r>
    </w:p>
    <w:p w14:paraId="2DCD902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Auditor can view read-only workflow analysis results, including risks, conflicts, and compliance status.</w:t>
      </w:r>
    </w:p>
    <w:p w14:paraId="42208CA0"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Auditor can trace workflow decisions through an explainable decision log generated during analysis.</w:t>
      </w:r>
    </w:p>
    <w:p w14:paraId="75BFA925"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Auditor can review historical analysis runs for the same workflow artifact.</w:t>
      </w:r>
    </w:p>
    <w:p w14:paraId="54C8D42C"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Auditor can export audit-ready reports detailing workflow risks, governance violations, and accountability assignments.</w:t>
      </w:r>
    </w:p>
    <w:p w14:paraId="37806CD5"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define user roles and assign permissions to Workflow Owners, Governance Analysts, and Auditors.</w:t>
      </w:r>
    </w:p>
    <w:p w14:paraId="54DC00D8"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configure global governance policies that apply to all workflows in the system.</w:t>
      </w:r>
    </w:p>
    <w:p w14:paraId="171933AA"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configure thresholds that determine risk severity levels.</w:t>
      </w:r>
    </w:p>
    <w:p w14:paraId="3CDFC864"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define templates for governance rules to ensure consistency across analyses.</w:t>
      </w:r>
    </w:p>
    <w:p w14:paraId="701770AD"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lastRenderedPageBreak/>
        <w:t>An Administrator can generate synthetic workflow artifacts that conform to Power Automate schemas for testing purposes.</w:t>
      </w:r>
    </w:p>
    <w:p w14:paraId="4E4AA092"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modify system-wide assumptions used during workflow simulations.</w:t>
      </w:r>
    </w:p>
    <w:p w14:paraId="1FFEE778"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view visual dashboards that display workflow paths, risk levels, and conflict points.</w:t>
      </w:r>
    </w:p>
    <w:p w14:paraId="1102A5B0"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drill down into a workflow step to view associated risks and governance findings.</w:t>
      </w:r>
    </w:p>
    <w:p w14:paraId="2D9B022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download explainable analysis reports for portfolio or compliance use.</w:t>
      </w:r>
    </w:p>
    <w:p w14:paraId="2EAEEC10"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Workflow Owner can compare the risk profile of different versions of the same workflow.</w:t>
      </w:r>
    </w:p>
    <w:p w14:paraId="07A2DD62"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mark specific workflow risks as accepted, mitigated, or unresolved.</w:t>
      </w:r>
    </w:p>
    <w:p w14:paraId="0E13BB97"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document mitigation recommendations for identified workflow risks.</w:t>
      </w:r>
    </w:p>
    <w:p w14:paraId="2610522B"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 Governance Analyst can rerun analysis after modifying governance rules or assumptions.</w:t>
      </w:r>
    </w:p>
    <w:p w14:paraId="5B2D0BF1"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Auditor can verify that governance rules were applied consistently across workflows.</w:t>
      </w:r>
    </w:p>
    <w:p w14:paraId="6A3011F6"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t>An Administrator can archive completed workflow analyses for long-term reference.</w:t>
      </w:r>
    </w:p>
    <w:p w14:paraId="512DFC68" w14:textId="77777777" w:rsidR="00EC1189" w:rsidRPr="00EC1189" w:rsidRDefault="00EC1189" w:rsidP="00EC1189">
      <w:pPr>
        <w:numPr>
          <w:ilvl w:val="0"/>
          <w:numId w:val="27"/>
        </w:numPr>
        <w:spacing w:line="480" w:lineRule="auto"/>
        <w:rPr>
          <w:rFonts w:ascii="Times New Roman" w:hAnsi="Times New Roman" w:cs="Times New Roman"/>
        </w:rPr>
      </w:pPr>
      <w:r w:rsidRPr="00EC1189">
        <w:rPr>
          <w:rFonts w:ascii="Times New Roman" w:hAnsi="Times New Roman" w:cs="Times New Roman"/>
        </w:rPr>
        <w:lastRenderedPageBreak/>
        <w:t>An Administrator can restore archived workflow analyses for review or re-analysis.</w:t>
      </w:r>
    </w:p>
    <w:p w14:paraId="6C390D27" w14:textId="5C20F88E" w:rsidR="00EC1189" w:rsidRPr="00EC1189" w:rsidRDefault="00E43036" w:rsidP="00EC1189">
      <w:pPr>
        <w:spacing w:line="480" w:lineRule="auto"/>
        <w:rPr>
          <w:rFonts w:ascii="Times New Roman" w:hAnsi="Times New Roman" w:cs="Times New Roman"/>
        </w:rPr>
      </w:pPr>
      <w:r w:rsidRPr="00462E00">
        <w:rPr>
          <w:rFonts w:ascii="Times New Roman" w:hAnsi="Times New Roman" w:cs="Times New Roman"/>
          <w:b/>
          <w:bCs/>
        </w:rPr>
        <w:t>2.2 Non-Functional Requirements</w:t>
      </w:r>
    </w:p>
    <w:p w14:paraId="63BA762B"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NFR-1. The system shall operate entirely offline without connecting to Power Automate services or external APIs.</w:t>
      </w:r>
    </w:p>
    <w:p w14:paraId="03544A22"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NFR-2. The system shall process workflow artifacts using only free and open-source Python libraries.</w:t>
      </w:r>
    </w:p>
    <w:p w14:paraId="53ACAD27"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NFR-3. The system shall complete analysis of a workflow containing up to 500 steps within a reasonable time suitable for interactive use.</w:t>
      </w:r>
    </w:p>
    <w:p w14:paraId="227B90DB"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NFR-4. The system shall restrict write operations based on user role permissions.</w:t>
      </w:r>
    </w:p>
    <w:p w14:paraId="7970EA50"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NFR-5. The system shall preserve the integrity of uploaded workflow artifacts by preventing in-place modification.</w:t>
      </w:r>
    </w:p>
    <w:p w14:paraId="7BD9E736"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NFR-6. The system shall generate explainable analysis outputs that clearly describe rule evaluations and risk calculations.</w:t>
      </w:r>
    </w:p>
    <w:p w14:paraId="7187EF09"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NFR-7. The system shall store analysis results locally in a format suitable for audit review.</w:t>
      </w:r>
    </w:p>
    <w:p w14:paraId="06EA262F"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NFR-8. The system shall ensure that exported reports do not contain executable code.</w:t>
      </w:r>
    </w:p>
    <w:p w14:paraId="5FC77A91"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NFR-9. The system shall support repeatable analysis by producing consistent results given the same inputs and assumptions.</w:t>
      </w:r>
    </w:p>
    <w:p w14:paraId="02B5EDF0"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NFR-10. The system shall protect locally stored workflow artifacts from unauthorized access.</w:t>
      </w:r>
    </w:p>
    <w:p w14:paraId="1875BAD3" w14:textId="77777777" w:rsidR="00EC1189" w:rsidRPr="00EC1189" w:rsidRDefault="00EC1189" w:rsidP="00EC1189">
      <w:pPr>
        <w:spacing w:line="480" w:lineRule="auto"/>
        <w:rPr>
          <w:rFonts w:ascii="Times New Roman" w:hAnsi="Times New Roman" w:cs="Times New Roman"/>
        </w:rPr>
      </w:pPr>
      <w:r w:rsidRPr="00EC1189">
        <w:rPr>
          <w:rFonts w:ascii="Times New Roman" w:hAnsi="Times New Roman" w:cs="Times New Roman"/>
        </w:rPr>
        <w:t>NFR-11. The system shall allow configuration of governance rules without requiring code changes.</w:t>
      </w:r>
    </w:p>
    <w:p w14:paraId="1804B4D4" w14:textId="34BD1F9B" w:rsidR="00FD3EEB" w:rsidRPr="009B12E7" w:rsidRDefault="00EC1189" w:rsidP="00FD3EEB">
      <w:pPr>
        <w:spacing w:line="480" w:lineRule="auto"/>
        <w:rPr>
          <w:rFonts w:ascii="Times New Roman" w:hAnsi="Times New Roman" w:cs="Times New Roman"/>
        </w:rPr>
      </w:pPr>
      <w:r w:rsidRPr="00EC1189">
        <w:rPr>
          <w:rFonts w:ascii="Times New Roman" w:hAnsi="Times New Roman" w:cs="Times New Roman"/>
        </w:rPr>
        <w:lastRenderedPageBreak/>
        <w:t>NFR-12. The system shall support visualizations that remain usable on standard laptop displays.</w:t>
      </w:r>
    </w:p>
    <w:sectPr w:rsidR="00FD3EEB" w:rsidRPr="009B12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A3D57" w14:textId="77777777" w:rsidR="00B936D8" w:rsidRDefault="00B936D8" w:rsidP="00402AEF">
      <w:pPr>
        <w:spacing w:after="0" w:line="240" w:lineRule="auto"/>
      </w:pPr>
      <w:r>
        <w:separator/>
      </w:r>
    </w:p>
  </w:endnote>
  <w:endnote w:type="continuationSeparator" w:id="0">
    <w:p w14:paraId="2B4804F4" w14:textId="77777777" w:rsidR="00B936D8" w:rsidRDefault="00B936D8" w:rsidP="00402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625CA" w14:textId="77777777" w:rsidR="00B936D8" w:rsidRDefault="00B936D8" w:rsidP="00402AEF">
      <w:pPr>
        <w:spacing w:after="0" w:line="240" w:lineRule="auto"/>
      </w:pPr>
      <w:r>
        <w:separator/>
      </w:r>
    </w:p>
  </w:footnote>
  <w:footnote w:type="continuationSeparator" w:id="0">
    <w:p w14:paraId="783C9283" w14:textId="77777777" w:rsidR="00B936D8" w:rsidRDefault="00B936D8" w:rsidP="00402A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387142"/>
      <w:docPartObj>
        <w:docPartGallery w:val="Page Numbers (Top of Page)"/>
        <w:docPartUnique/>
      </w:docPartObj>
    </w:sdtPr>
    <w:sdtEndPr>
      <w:rPr>
        <w:noProof/>
      </w:rPr>
    </w:sdtEndPr>
    <w:sdtContent>
      <w:p w14:paraId="3730A7A3" w14:textId="7FB0EDDA" w:rsidR="00402AEF" w:rsidRDefault="00402AE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A5109" w14:textId="77777777" w:rsidR="00402AEF" w:rsidRDefault="00402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FCB"/>
    <w:multiLevelType w:val="multilevel"/>
    <w:tmpl w:val="DB26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1643"/>
    <w:multiLevelType w:val="multilevel"/>
    <w:tmpl w:val="83AE0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D02CF"/>
    <w:multiLevelType w:val="multilevel"/>
    <w:tmpl w:val="D514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E4566"/>
    <w:multiLevelType w:val="multilevel"/>
    <w:tmpl w:val="36B6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54EB7"/>
    <w:multiLevelType w:val="multilevel"/>
    <w:tmpl w:val="2F2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9702C"/>
    <w:multiLevelType w:val="multilevel"/>
    <w:tmpl w:val="14F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D4FD1"/>
    <w:multiLevelType w:val="multilevel"/>
    <w:tmpl w:val="761A4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14A59"/>
    <w:multiLevelType w:val="multilevel"/>
    <w:tmpl w:val="16867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F303A2"/>
    <w:multiLevelType w:val="multilevel"/>
    <w:tmpl w:val="03DA2F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04336"/>
    <w:multiLevelType w:val="multilevel"/>
    <w:tmpl w:val="64A2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171F7F"/>
    <w:multiLevelType w:val="multilevel"/>
    <w:tmpl w:val="19564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3223B"/>
    <w:multiLevelType w:val="multilevel"/>
    <w:tmpl w:val="C818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E769D"/>
    <w:multiLevelType w:val="multilevel"/>
    <w:tmpl w:val="6B58B1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E1A25"/>
    <w:multiLevelType w:val="multilevel"/>
    <w:tmpl w:val="4A3C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E4229"/>
    <w:multiLevelType w:val="multilevel"/>
    <w:tmpl w:val="A3626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990481"/>
    <w:multiLevelType w:val="multilevel"/>
    <w:tmpl w:val="EE7A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205480"/>
    <w:multiLevelType w:val="multilevel"/>
    <w:tmpl w:val="F0A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82A2D"/>
    <w:multiLevelType w:val="multilevel"/>
    <w:tmpl w:val="75F842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115EA"/>
    <w:multiLevelType w:val="multilevel"/>
    <w:tmpl w:val="BBD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13161F"/>
    <w:multiLevelType w:val="multilevel"/>
    <w:tmpl w:val="919A5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01622B"/>
    <w:multiLevelType w:val="multilevel"/>
    <w:tmpl w:val="9672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DE1B12"/>
    <w:multiLevelType w:val="multilevel"/>
    <w:tmpl w:val="94A2B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3C1E32"/>
    <w:multiLevelType w:val="multilevel"/>
    <w:tmpl w:val="18A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D7C79"/>
    <w:multiLevelType w:val="multilevel"/>
    <w:tmpl w:val="F30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A515D4"/>
    <w:multiLevelType w:val="multilevel"/>
    <w:tmpl w:val="2D9AF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7B1B9F"/>
    <w:multiLevelType w:val="multilevel"/>
    <w:tmpl w:val="AF46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C3534"/>
    <w:multiLevelType w:val="multilevel"/>
    <w:tmpl w:val="8C72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1316">
    <w:abstractNumId w:val="14"/>
  </w:num>
  <w:num w:numId="2" w16cid:durableId="1709255230">
    <w:abstractNumId w:val="11"/>
  </w:num>
  <w:num w:numId="3" w16cid:durableId="1875847039">
    <w:abstractNumId w:val="9"/>
  </w:num>
  <w:num w:numId="4" w16cid:durableId="481625729">
    <w:abstractNumId w:val="21"/>
  </w:num>
  <w:num w:numId="5" w16cid:durableId="1007369487">
    <w:abstractNumId w:val="25"/>
  </w:num>
  <w:num w:numId="6" w16cid:durableId="1328558383">
    <w:abstractNumId w:val="4"/>
  </w:num>
  <w:num w:numId="7" w16cid:durableId="1693527586">
    <w:abstractNumId w:val="6"/>
  </w:num>
  <w:num w:numId="8" w16cid:durableId="162625300">
    <w:abstractNumId w:val="2"/>
  </w:num>
  <w:num w:numId="9" w16cid:durableId="495924101">
    <w:abstractNumId w:val="0"/>
  </w:num>
  <w:num w:numId="10" w16cid:durableId="2015257527">
    <w:abstractNumId w:val="23"/>
  </w:num>
  <w:num w:numId="11" w16cid:durableId="186796089">
    <w:abstractNumId w:val="10"/>
  </w:num>
  <w:num w:numId="12" w16cid:durableId="1254045267">
    <w:abstractNumId w:val="26"/>
  </w:num>
  <w:num w:numId="13" w16cid:durableId="476066496">
    <w:abstractNumId w:val="18"/>
  </w:num>
  <w:num w:numId="14" w16cid:durableId="1265073906">
    <w:abstractNumId w:val="7"/>
  </w:num>
  <w:num w:numId="15" w16cid:durableId="1585457227">
    <w:abstractNumId w:val="13"/>
  </w:num>
  <w:num w:numId="16" w16cid:durableId="1282607932">
    <w:abstractNumId w:val="22"/>
  </w:num>
  <w:num w:numId="17" w16cid:durableId="441153377">
    <w:abstractNumId w:val="15"/>
  </w:num>
  <w:num w:numId="18" w16cid:durableId="934900991">
    <w:abstractNumId w:val="8"/>
  </w:num>
  <w:num w:numId="19" w16cid:durableId="1431855399">
    <w:abstractNumId w:val="12"/>
  </w:num>
  <w:num w:numId="20" w16cid:durableId="1473054941">
    <w:abstractNumId w:val="17"/>
  </w:num>
  <w:num w:numId="21" w16cid:durableId="1806311554">
    <w:abstractNumId w:val="1"/>
  </w:num>
  <w:num w:numId="22" w16cid:durableId="916934932">
    <w:abstractNumId w:val="5"/>
  </w:num>
  <w:num w:numId="23" w16cid:durableId="1999651228">
    <w:abstractNumId w:val="19"/>
  </w:num>
  <w:num w:numId="24" w16cid:durableId="1866629016">
    <w:abstractNumId w:val="16"/>
  </w:num>
  <w:num w:numId="25" w16cid:durableId="1371998129">
    <w:abstractNumId w:val="20"/>
  </w:num>
  <w:num w:numId="26" w16cid:durableId="1938756727">
    <w:abstractNumId w:val="3"/>
  </w:num>
  <w:num w:numId="27" w16cid:durableId="118228077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A0"/>
    <w:rsid w:val="00010FB9"/>
    <w:rsid w:val="00027E90"/>
    <w:rsid w:val="00072CB0"/>
    <w:rsid w:val="00073A09"/>
    <w:rsid w:val="00080C9A"/>
    <w:rsid w:val="000A5824"/>
    <w:rsid w:val="000E1107"/>
    <w:rsid w:val="00100ED5"/>
    <w:rsid w:val="0013224D"/>
    <w:rsid w:val="00187CA0"/>
    <w:rsid w:val="00191C96"/>
    <w:rsid w:val="0019524D"/>
    <w:rsid w:val="001B523A"/>
    <w:rsid w:val="002334AA"/>
    <w:rsid w:val="0027144A"/>
    <w:rsid w:val="002B0C23"/>
    <w:rsid w:val="002E1803"/>
    <w:rsid w:val="0033662F"/>
    <w:rsid w:val="00357D33"/>
    <w:rsid w:val="00396972"/>
    <w:rsid w:val="003B09A9"/>
    <w:rsid w:val="00402AEF"/>
    <w:rsid w:val="004064D6"/>
    <w:rsid w:val="00423786"/>
    <w:rsid w:val="00462E00"/>
    <w:rsid w:val="00484E26"/>
    <w:rsid w:val="004903B9"/>
    <w:rsid w:val="004B5FAF"/>
    <w:rsid w:val="00543A08"/>
    <w:rsid w:val="006101AC"/>
    <w:rsid w:val="0061730C"/>
    <w:rsid w:val="00635189"/>
    <w:rsid w:val="006374A4"/>
    <w:rsid w:val="006C01A4"/>
    <w:rsid w:val="00717D0B"/>
    <w:rsid w:val="00732440"/>
    <w:rsid w:val="00752277"/>
    <w:rsid w:val="00782BE4"/>
    <w:rsid w:val="00785F12"/>
    <w:rsid w:val="00812F9D"/>
    <w:rsid w:val="00831ECA"/>
    <w:rsid w:val="0084238D"/>
    <w:rsid w:val="00865E18"/>
    <w:rsid w:val="008B49C2"/>
    <w:rsid w:val="00941F8E"/>
    <w:rsid w:val="009435EA"/>
    <w:rsid w:val="009561B2"/>
    <w:rsid w:val="009B12E7"/>
    <w:rsid w:val="009C0209"/>
    <w:rsid w:val="00A149A0"/>
    <w:rsid w:val="00A360DF"/>
    <w:rsid w:val="00A423FB"/>
    <w:rsid w:val="00A430F7"/>
    <w:rsid w:val="00AE1163"/>
    <w:rsid w:val="00AF1B1F"/>
    <w:rsid w:val="00B504C0"/>
    <w:rsid w:val="00B936D8"/>
    <w:rsid w:val="00B9681B"/>
    <w:rsid w:val="00BC3FA1"/>
    <w:rsid w:val="00BF51BC"/>
    <w:rsid w:val="00BF6C61"/>
    <w:rsid w:val="00C20097"/>
    <w:rsid w:val="00C22C15"/>
    <w:rsid w:val="00C67892"/>
    <w:rsid w:val="00C74FBE"/>
    <w:rsid w:val="00C80969"/>
    <w:rsid w:val="00CA68D2"/>
    <w:rsid w:val="00CB52EA"/>
    <w:rsid w:val="00CD73F5"/>
    <w:rsid w:val="00D67F42"/>
    <w:rsid w:val="00D8155F"/>
    <w:rsid w:val="00DA6473"/>
    <w:rsid w:val="00E03A75"/>
    <w:rsid w:val="00E04DCE"/>
    <w:rsid w:val="00E2350A"/>
    <w:rsid w:val="00E32C8A"/>
    <w:rsid w:val="00E43036"/>
    <w:rsid w:val="00E94864"/>
    <w:rsid w:val="00EA37E2"/>
    <w:rsid w:val="00EA6B0A"/>
    <w:rsid w:val="00EC1189"/>
    <w:rsid w:val="00F21FE0"/>
    <w:rsid w:val="00F455E7"/>
    <w:rsid w:val="00F56A27"/>
    <w:rsid w:val="00F67D00"/>
    <w:rsid w:val="00FA456A"/>
    <w:rsid w:val="00FD3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DAD0"/>
  <w15:chartTrackingRefBased/>
  <w15:docId w15:val="{FE3ACF28-F0B4-4096-8B1D-DD9014BDE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7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7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A0"/>
    <w:rPr>
      <w:rFonts w:eastAsiaTheme="majorEastAsia" w:cstheme="majorBidi"/>
      <w:color w:val="272727" w:themeColor="text1" w:themeTint="D8"/>
    </w:rPr>
  </w:style>
  <w:style w:type="paragraph" w:styleId="Title">
    <w:name w:val="Title"/>
    <w:basedOn w:val="Normal"/>
    <w:next w:val="Normal"/>
    <w:link w:val="TitleChar"/>
    <w:uiPriority w:val="10"/>
    <w:qFormat/>
    <w:rsid w:val="00187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A0"/>
    <w:pPr>
      <w:spacing w:before="160"/>
      <w:jc w:val="center"/>
    </w:pPr>
    <w:rPr>
      <w:i/>
      <w:iCs/>
      <w:color w:val="404040" w:themeColor="text1" w:themeTint="BF"/>
    </w:rPr>
  </w:style>
  <w:style w:type="character" w:customStyle="1" w:styleId="QuoteChar">
    <w:name w:val="Quote Char"/>
    <w:basedOn w:val="DefaultParagraphFont"/>
    <w:link w:val="Quote"/>
    <w:uiPriority w:val="29"/>
    <w:rsid w:val="00187CA0"/>
    <w:rPr>
      <w:i/>
      <w:iCs/>
      <w:color w:val="404040" w:themeColor="text1" w:themeTint="BF"/>
    </w:rPr>
  </w:style>
  <w:style w:type="paragraph" w:styleId="ListParagraph">
    <w:name w:val="List Paragraph"/>
    <w:basedOn w:val="Normal"/>
    <w:uiPriority w:val="34"/>
    <w:qFormat/>
    <w:rsid w:val="00187CA0"/>
    <w:pPr>
      <w:ind w:left="720"/>
      <w:contextualSpacing/>
    </w:pPr>
  </w:style>
  <w:style w:type="character" w:styleId="IntenseEmphasis">
    <w:name w:val="Intense Emphasis"/>
    <w:basedOn w:val="DefaultParagraphFont"/>
    <w:uiPriority w:val="21"/>
    <w:qFormat/>
    <w:rsid w:val="00187CA0"/>
    <w:rPr>
      <w:i/>
      <w:iCs/>
      <w:color w:val="0F4761" w:themeColor="accent1" w:themeShade="BF"/>
    </w:rPr>
  </w:style>
  <w:style w:type="paragraph" w:styleId="IntenseQuote">
    <w:name w:val="Intense Quote"/>
    <w:basedOn w:val="Normal"/>
    <w:next w:val="Normal"/>
    <w:link w:val="IntenseQuoteChar"/>
    <w:uiPriority w:val="30"/>
    <w:qFormat/>
    <w:rsid w:val="00187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A0"/>
    <w:rPr>
      <w:i/>
      <w:iCs/>
      <w:color w:val="0F4761" w:themeColor="accent1" w:themeShade="BF"/>
    </w:rPr>
  </w:style>
  <w:style w:type="character" w:styleId="IntenseReference">
    <w:name w:val="Intense Reference"/>
    <w:basedOn w:val="DefaultParagraphFont"/>
    <w:uiPriority w:val="32"/>
    <w:qFormat/>
    <w:rsid w:val="00187CA0"/>
    <w:rPr>
      <w:b/>
      <w:bCs/>
      <w:smallCaps/>
      <w:color w:val="0F4761" w:themeColor="accent1" w:themeShade="BF"/>
      <w:spacing w:val="5"/>
    </w:rPr>
  </w:style>
  <w:style w:type="paragraph" w:styleId="Header">
    <w:name w:val="header"/>
    <w:basedOn w:val="Normal"/>
    <w:link w:val="HeaderChar"/>
    <w:uiPriority w:val="99"/>
    <w:unhideWhenUsed/>
    <w:rsid w:val="00402A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AEF"/>
  </w:style>
  <w:style w:type="paragraph" w:styleId="Footer">
    <w:name w:val="footer"/>
    <w:basedOn w:val="Normal"/>
    <w:link w:val="FooterChar"/>
    <w:uiPriority w:val="99"/>
    <w:unhideWhenUsed/>
    <w:rsid w:val="00402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AEF"/>
  </w:style>
  <w:style w:type="paragraph" w:styleId="NormalWeb">
    <w:name w:val="Normal (Web)"/>
    <w:basedOn w:val="Normal"/>
    <w:uiPriority w:val="99"/>
    <w:unhideWhenUsed/>
    <w:rsid w:val="006351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51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8</Pages>
  <Words>1214</Words>
  <Characters>6923</Characters>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2026-01-30T05:39:00Z</dcterms:created>
  <dcterms:modified xsi:type="dcterms:W3CDTF">2026-02-09T15:04:00Z</dcterms:modified>
</cp:coreProperties>
</file>