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 w:after="80"/>
      </w:pPr>
      <w:r>
        <w:rPr>
          <w:rFonts w:ascii="Aptos" w:hAnsi="Aptos"/>
          <w:b/>
          <w:color w:val="496B4B"/>
          <w:sz w:val="16"/>
        </w:rPr>
        <w:t>IMPACTX 2026  |  CHALLENGE 05</w:t>
      </w:r>
    </w:p>
    <w:p>
      <w:pPr>
        <w:pStyle w:val="Title"/>
      </w:pPr>
      <w:r>
        <w:t>CareerTrust Prototype Overview</w:t>
      </w:r>
    </w:p>
    <w:p>
      <w:r>
        <w:t>A practical guide to what the current local career-service prototype contains, how its safeguards work, and what still requires a live service or human review.</w:t>
      </w:r>
    </w:p>
    <w:p>
      <w:r>
        <w:rPr>
          <w:b/>
        </w:rPr>
        <w:t>CareerTrust</w:t>
      </w:r>
      <w:r>
        <w:t xml:space="preserve"> is a public-service-style career journey prototype. It brings opportunity discovery, profile evidence, application tracking, career guidance, and job-safety checks into one calm interface. The current version demonstrates these flows with fictional data; it is not an official government or National Career Service portal.</w:t>
      </w:r>
    </w:p>
    <w:p>
      <w:pPr>
        <w:pStyle w:val="Heading1"/>
      </w:pPr>
      <w:r>
        <w:t>At a glance</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1944"/>
            <w:vAlign w:val="center"/>
            <w:shd w:fill="244B37"/>
          </w:tcPr>
          <w:p>
            <w:pPr>
              <w:spacing w:after="20" w:before="20" w:line="252" w:lineRule="auto"/>
            </w:pPr>
            <w:r/>
            <w:r>
              <w:rPr>
                <w:rFonts w:ascii="Aptos" w:hAnsi="Aptos"/>
                <w:b/>
                <w:color w:val="FFFFFF"/>
                <w:sz w:val="16"/>
              </w:rPr>
              <w:t>Area</w:t>
            </w:r>
          </w:p>
        </w:tc>
        <w:tc>
          <w:tcPr>
            <w:tcW w:type="dxa" w:w="8208"/>
            <w:vAlign w:val="center"/>
            <w:shd w:fill="244B37"/>
          </w:tcPr>
          <w:p>
            <w:pPr>
              <w:spacing w:after="20" w:before="20" w:line="252" w:lineRule="auto"/>
            </w:pPr>
            <w:r/>
            <w:r>
              <w:rPr>
                <w:rFonts w:ascii="Aptos" w:hAnsi="Aptos"/>
                <w:b/>
                <w:color w:val="FFFFFF"/>
                <w:sz w:val="16"/>
              </w:rPr>
              <w:t>Current implementation</w:t>
            </w:r>
          </w:p>
        </w:tc>
      </w:tr>
      <w:tr>
        <w:trPr>
          <w:cantSplit/>
        </w:trPr>
        <w:tc>
          <w:tcPr>
            <w:tcW w:type="dxa" w:w="1944"/>
            <w:vAlign w:val="center"/>
            <w:shd w:fill="FAF7EF"/>
          </w:tcPr>
          <w:p>
            <w:pPr>
              <w:spacing w:after="20" w:before="20" w:line="252" w:lineRule="auto"/>
            </w:pPr>
            <w:r/>
            <w:r>
              <w:rPr>
                <w:rFonts w:ascii="Aptos" w:hAnsi="Aptos"/>
                <w:b w:val="0"/>
                <w:color w:val="27352D"/>
                <w:sz w:val="16"/>
              </w:rPr>
              <w:t>Experience</w:t>
            </w:r>
          </w:p>
        </w:tc>
        <w:tc>
          <w:tcPr>
            <w:tcW w:type="dxa" w:w="8208"/>
            <w:vAlign w:val="center"/>
            <w:shd w:fill="FAF7EF"/>
          </w:tcPr>
          <w:p>
            <w:pPr>
              <w:spacing w:after="20" w:before="20" w:line="252" w:lineRule="auto"/>
            </w:pPr>
            <w:r/>
            <w:r>
              <w:rPr>
                <w:rFonts w:ascii="Aptos" w:hAnsi="Aptos"/>
                <w:b w:val="0"/>
                <w:color w:val="27352D"/>
                <w:sz w:val="16"/>
              </w:rPr>
              <w:t>Responsive React and TypeScript website with warm beige surfaces, forest-green accents, and a banyan-tree home hero.</w:t>
            </w:r>
          </w:p>
        </w:tc>
      </w:tr>
      <w:tr>
        <w:trPr>
          <w:cantSplit/>
        </w:trPr>
        <w:tc>
          <w:tcPr>
            <w:tcW w:type="dxa" w:w="1944"/>
            <w:vAlign w:val="center"/>
            <w:shd w:fill="F5F0E5"/>
          </w:tcPr>
          <w:p>
            <w:pPr>
              <w:spacing w:after="20" w:before="20" w:line="252" w:lineRule="auto"/>
            </w:pPr>
            <w:r/>
            <w:r>
              <w:rPr>
                <w:rFonts w:ascii="Aptos" w:hAnsi="Aptos"/>
                <w:b w:val="0"/>
                <w:color w:val="27352D"/>
                <w:sz w:val="16"/>
              </w:rPr>
              <w:t>Product flows</w:t>
            </w:r>
          </w:p>
        </w:tc>
        <w:tc>
          <w:tcPr>
            <w:tcW w:type="dxa" w:w="8208"/>
            <w:vAlign w:val="center"/>
            <w:shd w:fill="F5F0E5"/>
          </w:tcPr>
          <w:p>
            <w:pPr>
              <w:spacing w:after="20" w:before="20" w:line="252" w:lineRule="auto"/>
            </w:pPr>
            <w:r/>
            <w:r>
              <w:rPr>
                <w:rFonts w:ascii="Aptos" w:hAnsi="Aptos"/>
                <w:b w:val="0"/>
                <w:color w:val="27352D"/>
                <w:sz w:val="16"/>
              </w:rPr>
              <w:t>Job discovery, evidence-linked profile, growth plan, safety check, employer intake, application tracker, language guide, interview practice, and resume preview.</w:t>
            </w:r>
          </w:p>
        </w:tc>
      </w:tr>
      <w:tr>
        <w:trPr>
          <w:cantSplit/>
        </w:trPr>
        <w:tc>
          <w:tcPr>
            <w:tcW w:type="dxa" w:w="1944"/>
            <w:vAlign w:val="center"/>
            <w:shd w:fill="FAF7EF"/>
          </w:tcPr>
          <w:p>
            <w:pPr>
              <w:spacing w:after="20" w:before="20" w:line="252" w:lineRule="auto"/>
            </w:pPr>
            <w:r/>
            <w:r>
              <w:rPr>
                <w:rFonts w:ascii="Aptos" w:hAnsi="Aptos"/>
                <w:b w:val="0"/>
                <w:color w:val="27352D"/>
                <w:sz w:val="16"/>
              </w:rPr>
              <w:t>Service layer</w:t>
            </w:r>
          </w:p>
        </w:tc>
        <w:tc>
          <w:tcPr>
            <w:tcW w:type="dxa" w:w="8208"/>
            <w:vAlign w:val="center"/>
            <w:shd w:fill="FAF7EF"/>
          </w:tcPr>
          <w:p>
            <w:pPr>
              <w:spacing w:after="20" w:before="20" w:line="252" w:lineRule="auto"/>
            </w:pPr>
            <w:r/>
            <w:r>
              <w:rPr>
                <w:rFonts w:ascii="Aptos" w:hAnsi="Aptos"/>
                <w:b w:val="0"/>
                <w:color w:val="27352D"/>
                <w:sz w:val="16"/>
              </w:rPr>
              <w:t>Flask API with SQLite persistence; deterministic rules for match explanations, vacancy freshness, and trust signals.</w:t>
            </w:r>
          </w:p>
        </w:tc>
      </w:tr>
      <w:tr>
        <w:trPr>
          <w:cantSplit/>
        </w:trPr>
        <w:tc>
          <w:tcPr>
            <w:tcW w:type="dxa" w:w="1944"/>
            <w:vAlign w:val="center"/>
            <w:shd w:fill="F5F0E5"/>
          </w:tcPr>
          <w:p>
            <w:pPr>
              <w:spacing w:after="20" w:before="20" w:line="252" w:lineRule="auto"/>
            </w:pPr>
            <w:r/>
            <w:r>
              <w:rPr>
                <w:rFonts w:ascii="Aptos" w:hAnsi="Aptos"/>
                <w:b w:val="0"/>
                <w:color w:val="27352D"/>
                <w:sz w:val="16"/>
              </w:rPr>
              <w:t>Demo data</w:t>
            </w:r>
          </w:p>
        </w:tc>
        <w:tc>
          <w:tcPr>
            <w:tcW w:type="dxa" w:w="8208"/>
            <w:vAlign w:val="center"/>
            <w:shd w:fill="F5F0E5"/>
          </w:tcPr>
          <w:p>
            <w:pPr>
              <w:spacing w:after="20" w:before="20" w:line="252" w:lineRule="auto"/>
            </w:pPr>
            <w:r/>
            <w:r>
              <w:rPr>
                <w:rFonts w:ascii="Aptos" w:hAnsi="Aptos"/>
                <w:b w:val="0"/>
                <w:color w:val="27352D"/>
                <w:sz w:val="16"/>
              </w:rPr>
              <w:t>40 fictional job listings, including six labeled fraud or impersonation examples; seeded candidate profile and five-step learning plan.</w:t>
            </w:r>
          </w:p>
        </w:tc>
      </w:tr>
      <w:tr>
        <w:trPr>
          <w:cantSplit/>
        </w:trPr>
        <w:tc>
          <w:tcPr>
            <w:tcW w:type="dxa" w:w="1944"/>
            <w:vAlign w:val="center"/>
            <w:shd w:fill="FAF7EF"/>
          </w:tcPr>
          <w:p>
            <w:pPr>
              <w:spacing w:after="20" w:before="20" w:line="252" w:lineRule="auto"/>
            </w:pPr>
            <w:r/>
            <w:r>
              <w:rPr>
                <w:rFonts w:ascii="Aptos" w:hAnsi="Aptos"/>
                <w:b w:val="0"/>
                <w:color w:val="27352D"/>
                <w:sz w:val="16"/>
              </w:rPr>
              <w:t>Current run state</w:t>
            </w:r>
          </w:p>
        </w:tc>
        <w:tc>
          <w:tcPr>
            <w:tcW w:type="dxa" w:w="8208"/>
            <w:vAlign w:val="center"/>
            <w:shd w:fill="FAF7EF"/>
          </w:tcPr>
          <w:p>
            <w:pPr>
              <w:spacing w:after="20" w:before="20" w:line="252" w:lineRule="auto"/>
            </w:pPr>
            <w:r/>
            <w:r>
              <w:rPr>
                <w:rFonts w:ascii="Aptos" w:hAnsi="Aptos"/>
                <w:b w:val="0"/>
                <w:color w:val="27352D"/>
                <w:sz w:val="16"/>
              </w:rPr>
              <w:t>Frontend build succeeds. The Flask runtime is not available in the current environment, so the browser is using its clearly labeled offline demo mode.</w:t>
            </w:r>
          </w:p>
        </w:tc>
      </w:tr>
    </w:tbl>
    <w:p>
      <w:pPr>
        <w:spacing w:after="20"/>
      </w:pPr>
    </w:p>
    <w:p>
      <w:pPr>
        <w:pStyle w:val="Heading1"/>
      </w:pPr>
      <w:r>
        <w:t>How the parts connect</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3384"/>
            <w:vAlign w:val="center"/>
            <w:shd w:fill="244B37"/>
          </w:tcPr>
          <w:p>
            <w:pPr>
              <w:spacing w:after="20" w:before="20" w:line="252" w:lineRule="auto"/>
            </w:pPr>
            <w:r/>
            <w:r>
              <w:rPr>
                <w:rFonts w:ascii="Aptos" w:hAnsi="Aptos"/>
                <w:b/>
                <w:color w:val="FFFFFF"/>
                <w:sz w:val="16"/>
              </w:rPr>
              <w:t>Candidate browser</w:t>
            </w:r>
          </w:p>
        </w:tc>
        <w:tc>
          <w:tcPr>
            <w:tcW w:type="dxa" w:w="3384"/>
            <w:vAlign w:val="center"/>
            <w:shd w:fill="244B37"/>
          </w:tcPr>
          <w:p>
            <w:pPr>
              <w:spacing w:after="20" w:before="20" w:line="252" w:lineRule="auto"/>
            </w:pPr>
            <w:r/>
            <w:r>
              <w:rPr>
                <w:rFonts w:ascii="Aptos" w:hAnsi="Aptos"/>
                <w:b/>
                <w:color w:val="FFFFFF"/>
                <w:sz w:val="16"/>
              </w:rPr>
              <w:t>Local API</w:t>
            </w:r>
          </w:p>
        </w:tc>
        <w:tc>
          <w:tcPr>
            <w:tcW w:type="dxa" w:w="3384"/>
            <w:vAlign w:val="center"/>
            <w:shd w:fill="244B37"/>
          </w:tcPr>
          <w:p>
            <w:pPr>
              <w:spacing w:after="20" w:before="20" w:line="252" w:lineRule="auto"/>
            </w:pPr>
            <w:r/>
            <w:r>
              <w:rPr>
                <w:rFonts w:ascii="Aptos" w:hAnsi="Aptos"/>
                <w:b/>
                <w:color w:val="FFFFFF"/>
                <w:sz w:val="16"/>
              </w:rPr>
              <w:t>Local records</w:t>
            </w:r>
          </w:p>
        </w:tc>
      </w:tr>
      <w:tr>
        <w:trPr>
          <w:cantSplit/>
        </w:trPr>
        <w:tc>
          <w:tcPr>
            <w:tcW w:type="dxa" w:w="3384"/>
            <w:vAlign w:val="center"/>
            <w:shd w:fill="FAF7EF"/>
          </w:tcPr>
          <w:p>
            <w:pPr>
              <w:spacing w:after="20" w:before="20" w:line="252" w:lineRule="auto"/>
            </w:pPr>
            <w:r/>
            <w:r>
              <w:rPr>
                <w:rFonts w:ascii="Aptos" w:hAnsi="Aptos"/>
                <w:b w:val="0"/>
                <w:color w:val="27352D"/>
                <w:sz w:val="16"/>
              </w:rPr>
              <w:t>React + TypeScript, Vite, responsive CSS, and service worker. Shows the interface and calls JSON endpoints under /api.</w:t>
            </w:r>
          </w:p>
        </w:tc>
        <w:tc>
          <w:tcPr>
            <w:tcW w:type="dxa" w:w="3384"/>
            <w:vAlign w:val="center"/>
            <w:shd w:fill="FAF7EF"/>
          </w:tcPr>
          <w:p>
            <w:pPr>
              <w:spacing w:after="20" w:before="20" w:line="252" w:lineRule="auto"/>
            </w:pPr>
            <w:r/>
            <w:r>
              <w:rPr>
                <w:rFonts w:ascii="Aptos" w:hAnsi="Aptos"/>
                <w:b w:val="0"/>
                <w:color w:val="27352D"/>
                <w:sz w:val="16"/>
              </w:rPr>
              <w:t>Python Flask routes on localhost:5000; CORS can be limited through CAREERTRUST_ALLOWED_ORIGINS.</w:t>
            </w:r>
          </w:p>
        </w:tc>
        <w:tc>
          <w:tcPr>
            <w:tcW w:type="dxa" w:w="3384"/>
            <w:vAlign w:val="center"/>
            <w:shd w:fill="FAF7EF"/>
          </w:tcPr>
          <w:p>
            <w:pPr>
              <w:spacing w:after="20" w:before="20" w:line="252" w:lineRule="auto"/>
            </w:pPr>
            <w:r/>
            <w:r>
              <w:rPr>
                <w:rFonts w:ascii="Aptos" w:hAnsi="Aptos"/>
                <w:b w:val="0"/>
                <w:color w:val="27352D"/>
                <w:sz w:val="16"/>
              </w:rPr>
              <w:t>SQLite database in backend/instance. Stores fictional listings and demo profile, applications, evidence, and practice records.</w:t>
            </w:r>
          </w:p>
        </w:tc>
      </w:tr>
    </w:tbl>
    <w:p>
      <w:pPr>
        <w:spacing w:after="20"/>
      </w:pPr>
    </w:p>
    <w:p>
      <w:r>
        <w:rPr>
          <w:b/>
        </w:rPr>
        <w:t>The home page</w:t>
      </w:r>
      <w:r>
        <w:t xml:space="preserve"> uses a photographic banyan illustration rather than a real-time 3D model. Small leaf-linked career notes rotate every five seconds. Their calm, compact design keeps guidance visible without crowding the tree.</w:t>
      </w:r>
    </w:p>
    <w:p>
      <w:r>
        <w:br w:type="page"/>
      </w:r>
    </w:p>
    <w:p>
      <w:pPr>
        <w:pStyle w:val="Heading1"/>
      </w:pPr>
      <w:r>
        <w:t>What a candidate can do</w:t>
      </w:r>
    </w:p>
    <w:p>
      <w:r>
        <w:t>The prototype is organized around a job seeker’s journey. Each feature explains what it does and keeps the candidate in control of profile details and decisions.</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1800"/>
            <w:vAlign w:val="center"/>
            <w:shd w:fill="244B37"/>
          </w:tcPr>
          <w:p>
            <w:pPr>
              <w:spacing w:after="20" w:before="20" w:line="252" w:lineRule="auto"/>
            </w:pPr>
            <w:r/>
            <w:r>
              <w:rPr>
                <w:rFonts w:ascii="Aptos" w:hAnsi="Aptos"/>
                <w:b/>
                <w:color w:val="FFFFFF"/>
                <w:sz w:val="15"/>
              </w:rPr>
              <w:t>Flow</w:t>
            </w:r>
          </w:p>
        </w:tc>
        <w:tc>
          <w:tcPr>
            <w:tcW w:type="dxa" w:w="4824"/>
            <w:vAlign w:val="center"/>
            <w:shd w:fill="244B37"/>
          </w:tcPr>
          <w:p>
            <w:pPr>
              <w:spacing w:after="20" w:before="20" w:line="252" w:lineRule="auto"/>
            </w:pPr>
            <w:r/>
            <w:r>
              <w:rPr>
                <w:rFonts w:ascii="Aptos" w:hAnsi="Aptos"/>
                <w:b/>
                <w:color w:val="FFFFFF"/>
                <w:sz w:val="15"/>
              </w:rPr>
              <w:t>What is implemented</w:t>
            </w:r>
          </w:p>
        </w:tc>
        <w:tc>
          <w:tcPr>
            <w:tcW w:type="dxa" w:w="3456"/>
            <w:vAlign w:val="center"/>
            <w:shd w:fill="244B37"/>
          </w:tcPr>
          <w:p>
            <w:pPr>
              <w:spacing w:after="20" w:before="20" w:line="252" w:lineRule="auto"/>
            </w:pPr>
            <w:r/>
            <w:r>
              <w:rPr>
                <w:rFonts w:ascii="Aptos" w:hAnsi="Aptos"/>
                <w:b/>
                <w:color w:val="FFFFFF"/>
                <w:sz w:val="15"/>
              </w:rPr>
              <w:t>What the user sees</w:t>
            </w:r>
          </w:p>
        </w:tc>
      </w:tr>
      <w:tr>
        <w:trPr>
          <w:cantSplit/>
        </w:trPr>
        <w:tc>
          <w:tcPr>
            <w:tcW w:type="dxa" w:w="1800"/>
            <w:vAlign w:val="center"/>
            <w:shd w:fill="FAF7EF"/>
          </w:tcPr>
          <w:p>
            <w:pPr>
              <w:spacing w:after="20" w:before="20" w:line="252" w:lineRule="auto"/>
            </w:pPr>
            <w:r/>
            <w:r>
              <w:rPr>
                <w:rFonts w:ascii="Aptos" w:hAnsi="Aptos"/>
                <w:b w:val="0"/>
                <w:color w:val="27352D"/>
                <w:sz w:val="15"/>
              </w:rPr>
              <w:t>Explore opportunities</w:t>
            </w:r>
          </w:p>
        </w:tc>
        <w:tc>
          <w:tcPr>
            <w:tcW w:type="dxa" w:w="4824"/>
            <w:vAlign w:val="center"/>
            <w:shd w:fill="FAF7EF"/>
          </w:tcPr>
          <w:p>
            <w:pPr>
              <w:spacing w:after="20" w:before="20" w:line="252" w:lineRule="auto"/>
            </w:pPr>
            <w:r/>
            <w:r>
              <w:rPr>
                <w:rFonts w:ascii="Aptos" w:hAnsi="Aptos"/>
                <w:b w:val="0"/>
                <w:color w:val="27352D"/>
                <w:sz w:val="15"/>
              </w:rPr>
              <w:t>Search and filter demo roles; view requirements, evidence coverage, source context, quality fields, and freshness. Exact repeated listing records are grouped in the view.</w:t>
            </w:r>
          </w:p>
        </w:tc>
        <w:tc>
          <w:tcPr>
            <w:tcW w:type="dxa" w:w="3456"/>
            <w:vAlign w:val="center"/>
            <w:shd w:fill="FAF7EF"/>
          </w:tcPr>
          <w:p>
            <w:pPr>
              <w:spacing w:after="20" w:before="20" w:line="252" w:lineRule="auto"/>
            </w:pPr>
            <w:r/>
            <w:r>
              <w:rPr>
                <w:rFonts w:ascii="Aptos" w:hAnsi="Aptos"/>
                <w:b w:val="0"/>
                <w:color w:val="27352D"/>
                <w:sz w:val="15"/>
              </w:rPr>
              <w:t>A role is a sample record, not a live vacancy confirmation. Stale postings pause after 14 days without an update and cannot accept a new application.</w:t>
            </w:r>
          </w:p>
        </w:tc>
      </w:tr>
      <w:tr>
        <w:trPr>
          <w:cantSplit/>
        </w:trPr>
        <w:tc>
          <w:tcPr>
            <w:tcW w:type="dxa" w:w="1800"/>
            <w:vAlign w:val="center"/>
            <w:shd w:fill="F5F0E5"/>
          </w:tcPr>
          <w:p>
            <w:pPr>
              <w:spacing w:after="20" w:before="20" w:line="252" w:lineRule="auto"/>
            </w:pPr>
            <w:r/>
            <w:r>
              <w:rPr>
                <w:rFonts w:ascii="Aptos" w:hAnsi="Aptos"/>
                <w:b w:val="0"/>
                <w:color w:val="27352D"/>
                <w:sz w:val="15"/>
              </w:rPr>
              <w:t>Profile and skill evidence</w:t>
            </w:r>
          </w:p>
        </w:tc>
        <w:tc>
          <w:tcPr>
            <w:tcW w:type="dxa" w:w="4824"/>
            <w:vAlign w:val="center"/>
            <w:shd w:fill="F5F0E5"/>
          </w:tcPr>
          <w:p>
            <w:pPr>
              <w:spacing w:after="20" w:before="20" w:line="252" w:lineRule="auto"/>
            </w:pPr>
            <w:r/>
            <w:r>
              <w:rPr>
                <w:rFonts w:ascii="Aptos" w:hAnsi="Aptos"/>
                <w:b w:val="0"/>
                <w:color w:val="27352D"/>
                <w:sz w:val="15"/>
              </w:rPr>
              <w:t>Local profile fields include name, career goal, institution, education, preferred language, location, skills, and evidence sources. Evidence can be added to the profile.</w:t>
            </w:r>
          </w:p>
        </w:tc>
        <w:tc>
          <w:tcPr>
            <w:tcW w:type="dxa" w:w="3456"/>
            <w:vAlign w:val="center"/>
            <w:shd w:fill="F5F0E5"/>
          </w:tcPr>
          <w:p>
            <w:pPr>
              <w:spacing w:after="20" w:before="20" w:line="252" w:lineRule="auto"/>
            </w:pPr>
            <w:r/>
            <w:r>
              <w:rPr>
                <w:rFonts w:ascii="Aptos" w:hAnsi="Aptos"/>
                <w:b w:val="0"/>
                <w:color w:val="27352D"/>
                <w:sz w:val="15"/>
              </w:rPr>
              <w:t>College and language are not match-scoring inputs. The profile is a local demo record, not a sign-in or NCS account.</w:t>
            </w:r>
          </w:p>
        </w:tc>
      </w:tr>
      <w:tr>
        <w:trPr>
          <w:cantSplit/>
        </w:trPr>
        <w:tc>
          <w:tcPr>
            <w:tcW w:type="dxa" w:w="1800"/>
            <w:vAlign w:val="center"/>
            <w:shd w:fill="FAF7EF"/>
          </w:tcPr>
          <w:p>
            <w:pPr>
              <w:spacing w:after="20" w:before="20" w:line="252" w:lineRule="auto"/>
            </w:pPr>
            <w:r/>
            <w:r>
              <w:rPr>
                <w:rFonts w:ascii="Aptos" w:hAnsi="Aptos"/>
                <w:b w:val="0"/>
                <w:color w:val="27352D"/>
                <w:sz w:val="15"/>
              </w:rPr>
              <w:t>Growth plan</w:t>
            </w:r>
          </w:p>
        </w:tc>
        <w:tc>
          <w:tcPr>
            <w:tcW w:type="dxa" w:w="4824"/>
            <w:vAlign w:val="center"/>
            <w:shd w:fill="FAF7EF"/>
          </w:tcPr>
          <w:p>
            <w:pPr>
              <w:spacing w:after="20" w:before="20" w:line="252" w:lineRule="auto"/>
            </w:pPr>
            <w:r/>
            <w:r>
              <w:rPr>
                <w:rFonts w:ascii="Aptos" w:hAnsi="Aptos"/>
                <w:b w:val="0"/>
                <w:color w:val="27352D"/>
                <w:sz w:val="15"/>
              </w:rPr>
              <w:t>A five-task plan turns role requirements into learning actions. Users can track task progress.</w:t>
            </w:r>
          </w:p>
        </w:tc>
        <w:tc>
          <w:tcPr>
            <w:tcW w:type="dxa" w:w="3456"/>
            <w:vAlign w:val="center"/>
            <w:shd w:fill="FAF7EF"/>
          </w:tcPr>
          <w:p>
            <w:pPr>
              <w:spacing w:after="20" w:before="20" w:line="252" w:lineRule="auto"/>
            </w:pPr>
            <w:r/>
            <w:r>
              <w:rPr>
                <w:rFonts w:ascii="Aptos" w:hAnsi="Aptos"/>
                <w:b w:val="0"/>
                <w:color w:val="27352D"/>
                <w:sz w:val="15"/>
              </w:rPr>
              <w:t>Completing a task does not claim mastery or automatically change a skill claim.</w:t>
            </w:r>
          </w:p>
        </w:tc>
      </w:tr>
      <w:tr>
        <w:trPr>
          <w:cantSplit/>
        </w:trPr>
        <w:tc>
          <w:tcPr>
            <w:tcW w:type="dxa" w:w="1800"/>
            <w:vAlign w:val="center"/>
            <w:shd w:fill="F5F0E5"/>
          </w:tcPr>
          <w:p>
            <w:pPr>
              <w:spacing w:after="20" w:before="20" w:line="252" w:lineRule="auto"/>
            </w:pPr>
            <w:r/>
            <w:r>
              <w:rPr>
                <w:rFonts w:ascii="Aptos" w:hAnsi="Aptos"/>
                <w:b w:val="0"/>
                <w:color w:val="27352D"/>
                <w:sz w:val="15"/>
              </w:rPr>
              <w:t>Application journey</w:t>
            </w:r>
          </w:p>
        </w:tc>
        <w:tc>
          <w:tcPr>
            <w:tcW w:type="dxa" w:w="4824"/>
            <w:vAlign w:val="center"/>
            <w:shd w:fill="F5F0E5"/>
          </w:tcPr>
          <w:p>
            <w:pPr>
              <w:spacing w:after="20" w:before="20" w:line="252" w:lineRule="auto"/>
            </w:pPr>
            <w:r/>
            <w:r>
              <w:rPr>
                <w:rFonts w:ascii="Aptos" w:hAnsi="Aptos"/>
                <w:b w:val="0"/>
                <w:color w:val="27352D"/>
                <w:sz w:val="15"/>
              </w:rPr>
              <w:t>Save and track roles, status, follow-up dates, and private notes in one view. Duplicate application records are prevented.</w:t>
            </w:r>
          </w:p>
        </w:tc>
        <w:tc>
          <w:tcPr>
            <w:tcW w:type="dxa" w:w="3456"/>
            <w:vAlign w:val="center"/>
            <w:shd w:fill="F5F0E5"/>
          </w:tcPr>
          <w:p>
            <w:pPr>
              <w:spacing w:after="20" w:before="20" w:line="252" w:lineRule="auto"/>
            </w:pPr>
            <w:r/>
            <w:r>
              <w:rPr>
                <w:rFonts w:ascii="Aptos" w:hAnsi="Aptos"/>
                <w:b w:val="0"/>
                <w:color w:val="27352D"/>
                <w:sz w:val="15"/>
              </w:rPr>
              <w:t>Employer feedback is shown only when supplied; missing feedback is labeled rather than invented.</w:t>
            </w:r>
          </w:p>
        </w:tc>
      </w:tr>
      <w:tr>
        <w:trPr>
          <w:cantSplit/>
        </w:trPr>
        <w:tc>
          <w:tcPr>
            <w:tcW w:type="dxa" w:w="1800"/>
            <w:vAlign w:val="center"/>
            <w:shd w:fill="FAF7EF"/>
          </w:tcPr>
          <w:p>
            <w:pPr>
              <w:spacing w:after="20" w:before="20" w:line="252" w:lineRule="auto"/>
            </w:pPr>
            <w:r/>
            <w:r>
              <w:rPr>
                <w:rFonts w:ascii="Aptos" w:hAnsi="Aptos"/>
                <w:b w:val="0"/>
                <w:color w:val="27352D"/>
                <w:sz w:val="15"/>
              </w:rPr>
              <w:t>Career language guide</w:t>
            </w:r>
          </w:p>
        </w:tc>
        <w:tc>
          <w:tcPr>
            <w:tcW w:type="dxa" w:w="4824"/>
            <w:vAlign w:val="center"/>
            <w:shd w:fill="FAF7EF"/>
          </w:tcPr>
          <w:p>
            <w:pPr>
              <w:spacing w:after="20" w:before="20" w:line="252" w:lineRule="auto"/>
            </w:pPr>
            <w:r/>
            <w:r>
              <w:rPr>
                <w:rFonts w:ascii="Aptos" w:hAnsi="Aptos"/>
                <w:b w:val="0"/>
                <w:color w:val="27352D"/>
                <w:sz w:val="15"/>
              </w:rPr>
              <w:t>Multi-turn, offline guide with 13 language choices. A curated set explains common employment terms and hiring-safety situations. Long text is split into shorter pieces.</w:t>
            </w:r>
          </w:p>
        </w:tc>
        <w:tc>
          <w:tcPr>
            <w:tcW w:type="dxa" w:w="3456"/>
            <w:vAlign w:val="center"/>
            <w:shd w:fill="FAF7EF"/>
          </w:tcPr>
          <w:p>
            <w:pPr>
              <w:spacing w:after="20" w:before="20" w:line="252" w:lineRule="auto"/>
            </w:pPr>
            <w:r/>
            <w:r>
              <w:rPr>
                <w:rFonts w:ascii="Aptos" w:hAnsi="Aptos"/>
                <w:b w:val="0"/>
                <w:color w:val="27352D"/>
                <w:sz w:val="15"/>
              </w:rPr>
              <w:t>The guide does not send text to an external service. Arbitrary text is not fully translated or interpreted; complex legal questions need a qualified adviser.</w:t>
            </w:r>
          </w:p>
        </w:tc>
      </w:tr>
      <w:tr>
        <w:trPr>
          <w:cantSplit/>
        </w:trPr>
        <w:tc>
          <w:tcPr>
            <w:tcW w:type="dxa" w:w="1800"/>
            <w:vAlign w:val="center"/>
            <w:shd w:fill="F5F0E5"/>
          </w:tcPr>
          <w:p>
            <w:pPr>
              <w:spacing w:after="20" w:before="20" w:line="252" w:lineRule="auto"/>
            </w:pPr>
            <w:r/>
            <w:r>
              <w:rPr>
                <w:rFonts w:ascii="Aptos" w:hAnsi="Aptos"/>
                <w:b w:val="0"/>
                <w:color w:val="27352D"/>
                <w:sz w:val="15"/>
              </w:rPr>
              <w:t>Interview practice</w:t>
            </w:r>
          </w:p>
        </w:tc>
        <w:tc>
          <w:tcPr>
            <w:tcW w:type="dxa" w:w="4824"/>
            <w:vAlign w:val="center"/>
            <w:shd w:fill="F5F0E5"/>
          </w:tcPr>
          <w:p>
            <w:pPr>
              <w:spacing w:after="20" w:before="20" w:line="252" w:lineRule="auto"/>
            </w:pPr>
            <w:r/>
            <w:r>
              <w:rPr>
                <w:rFonts w:ascii="Aptos" w:hAnsi="Aptos"/>
                <w:b w:val="0"/>
                <w:color w:val="27352D"/>
                <w:sz w:val="15"/>
              </w:rPr>
              <w:t>Deterministic questions tie back to role requirements and profile evidence; practice notes can be saved.</w:t>
            </w:r>
          </w:p>
        </w:tc>
        <w:tc>
          <w:tcPr>
            <w:tcW w:type="dxa" w:w="3456"/>
            <w:vAlign w:val="center"/>
            <w:shd w:fill="F5F0E5"/>
          </w:tcPr>
          <w:p>
            <w:pPr>
              <w:spacing w:after="20" w:before="20" w:line="252" w:lineRule="auto"/>
            </w:pPr>
            <w:r/>
            <w:r>
              <w:rPr>
                <w:rFonts w:ascii="Aptos" w:hAnsi="Aptos"/>
                <w:b w:val="0"/>
                <w:color w:val="27352D"/>
                <w:sz w:val="15"/>
              </w:rPr>
              <w:t>Questions are prompts, not claims about experience.</w:t>
            </w:r>
          </w:p>
        </w:tc>
      </w:tr>
      <w:tr>
        <w:trPr>
          <w:cantSplit/>
        </w:trPr>
        <w:tc>
          <w:tcPr>
            <w:tcW w:type="dxa" w:w="1800"/>
            <w:vAlign w:val="center"/>
            <w:shd w:fill="FAF7EF"/>
          </w:tcPr>
          <w:p>
            <w:pPr>
              <w:spacing w:after="20" w:before="20" w:line="252" w:lineRule="auto"/>
            </w:pPr>
            <w:r/>
            <w:r>
              <w:rPr>
                <w:rFonts w:ascii="Aptos" w:hAnsi="Aptos"/>
                <w:b w:val="0"/>
                <w:color w:val="27352D"/>
                <w:sz w:val="15"/>
              </w:rPr>
              <w:t>Resume and privacy</w:t>
            </w:r>
          </w:p>
        </w:tc>
        <w:tc>
          <w:tcPr>
            <w:tcW w:type="dxa" w:w="4824"/>
            <w:vAlign w:val="center"/>
            <w:shd w:fill="FAF7EF"/>
          </w:tcPr>
          <w:p>
            <w:pPr>
              <w:spacing w:after="20" w:before="20" w:line="252" w:lineRule="auto"/>
            </w:pPr>
            <w:r/>
            <w:r>
              <w:rPr>
                <w:rFonts w:ascii="Aptos" w:hAnsi="Aptos"/>
                <w:b w:val="0"/>
                <w:color w:val="27352D"/>
                <w:sz w:val="15"/>
              </w:rPr>
              <w:t>Role-focused preview uses profile facts and evidence. Contact details are omitted by default; selected-field consent is recorded locally.</w:t>
            </w:r>
          </w:p>
        </w:tc>
        <w:tc>
          <w:tcPr>
            <w:tcW w:type="dxa" w:w="3456"/>
            <w:vAlign w:val="center"/>
            <w:shd w:fill="FAF7EF"/>
          </w:tcPr>
          <w:p>
            <w:pPr>
              <w:spacing w:after="20" w:before="20" w:line="252" w:lineRule="auto"/>
            </w:pPr>
            <w:r/>
            <w:r>
              <w:rPr>
                <w:rFonts w:ascii="Aptos" w:hAnsi="Aptos"/>
                <w:b w:val="0"/>
                <w:color w:val="27352D"/>
                <w:sz w:val="15"/>
              </w:rPr>
              <w:t>This is a preview and consent simulation. No resume file is delivered to an employer.</w:t>
            </w:r>
          </w:p>
        </w:tc>
      </w:tr>
    </w:tbl>
    <w:p>
      <w:pPr>
        <w:spacing w:after="20"/>
      </w:pPr>
    </w:p>
    <w:p>
      <w:pPr>
        <w:pStyle w:val="Heading2"/>
      </w:pPr>
      <w:r>
        <w:t>Home design</w:t>
      </w:r>
    </w:p>
    <w:p>
      <w:r>
        <w:t>The palette uses warm beige page backgrounds, softened off-white cards and fields, and deep greens for emphasis. Active controls use visible focus and selected states. The tree fills most of the first screen on larger displays and scales for mobile; popup cards are intentionally medium-sized. Reduced-motion preferences disable the automatic note rotation.</w:t>
      </w:r>
    </w:p>
    <w:p>
      <w:r>
        <w:br w:type="page"/>
      </w:r>
    </w:p>
    <w:p>
      <w:pPr>
        <w:pStyle w:val="Heading1"/>
      </w:pPr>
      <w:r>
        <w:t>Problem coverage and prototype response</w:t>
      </w:r>
    </w:p>
    <w:p>
      <w:r>
        <w:t>The ten concerns below are addressed as prototype workflows or safeguards. “Addressed” means a local demonstration, not a guarantee that the issue is eliminated in real recruitment.</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2160"/>
            <w:vAlign w:val="center"/>
            <w:shd w:fill="244B37"/>
          </w:tcPr>
          <w:p>
            <w:pPr>
              <w:spacing w:after="20" w:before="20" w:line="252" w:lineRule="auto"/>
            </w:pPr>
            <w:r/>
            <w:r>
              <w:rPr>
                <w:rFonts w:ascii="Aptos" w:hAnsi="Aptos"/>
                <w:b/>
                <w:color w:val="FFFFFF"/>
                <w:sz w:val="15"/>
              </w:rPr>
              <w:t>Problem</w:t>
            </w:r>
          </w:p>
        </w:tc>
        <w:tc>
          <w:tcPr>
            <w:tcW w:type="dxa" w:w="4680"/>
            <w:vAlign w:val="center"/>
            <w:shd w:fill="244B37"/>
          </w:tcPr>
          <w:p>
            <w:pPr>
              <w:spacing w:after="20" w:before="20" w:line="252" w:lineRule="auto"/>
            </w:pPr>
            <w:r/>
            <w:r>
              <w:rPr>
                <w:rFonts w:ascii="Aptos" w:hAnsi="Aptos"/>
                <w:b/>
                <w:color w:val="FFFFFF"/>
                <w:sz w:val="15"/>
              </w:rPr>
              <w:t>Prototype response</w:t>
            </w:r>
          </w:p>
        </w:tc>
        <w:tc>
          <w:tcPr>
            <w:tcW w:type="dxa" w:w="3240"/>
            <w:vAlign w:val="center"/>
            <w:shd w:fill="244B37"/>
          </w:tcPr>
          <w:p>
            <w:pPr>
              <w:spacing w:after="20" w:before="20" w:line="252" w:lineRule="auto"/>
            </w:pPr>
            <w:r/>
            <w:r>
              <w:rPr>
                <w:rFonts w:ascii="Aptos" w:hAnsi="Aptos"/>
                <w:b/>
                <w:color w:val="FFFFFF"/>
                <w:sz w:val="15"/>
              </w:rPr>
              <w:t>Boundary</w:t>
            </w:r>
          </w:p>
        </w:tc>
      </w:tr>
      <w:tr>
        <w:trPr>
          <w:cantSplit/>
        </w:trPr>
        <w:tc>
          <w:tcPr>
            <w:tcW w:type="dxa" w:w="2160"/>
            <w:vAlign w:val="center"/>
            <w:shd w:fill="FAF7EF"/>
          </w:tcPr>
          <w:p>
            <w:pPr>
              <w:spacing w:after="20" w:before="20" w:line="252" w:lineRule="auto"/>
            </w:pPr>
            <w:r/>
            <w:r>
              <w:rPr>
                <w:rFonts w:ascii="Aptos" w:hAnsi="Aptos"/>
                <w:b w:val="0"/>
                <w:color w:val="27352D"/>
                <w:sz w:val="15"/>
              </w:rPr>
              <w:t>1. Ghost and inactive vacancies</w:t>
            </w:r>
          </w:p>
        </w:tc>
        <w:tc>
          <w:tcPr>
            <w:tcW w:type="dxa" w:w="4680"/>
            <w:vAlign w:val="center"/>
            <w:shd w:fill="FAF7EF"/>
          </w:tcPr>
          <w:p>
            <w:pPr>
              <w:spacing w:after="20" w:before="20" w:line="252" w:lineRule="auto"/>
            </w:pPr>
            <w:r/>
            <w:r>
              <w:rPr>
                <w:rFonts w:ascii="Aptos" w:hAnsi="Aptos"/>
                <w:b w:val="0"/>
                <w:color w:val="27352D"/>
                <w:sz w:val="15"/>
              </w:rPr>
              <w:t>A listing automatically pauses after 14 days without an update. New saves or applications are blocked while it needs confirmation.</w:t>
            </w:r>
          </w:p>
        </w:tc>
        <w:tc>
          <w:tcPr>
            <w:tcW w:type="dxa" w:w="3240"/>
            <w:vAlign w:val="center"/>
            <w:shd w:fill="FAF7EF"/>
          </w:tcPr>
          <w:p>
            <w:pPr>
              <w:spacing w:after="20" w:before="20" w:line="252" w:lineRule="auto"/>
            </w:pPr>
            <w:r/>
            <w:r>
              <w:rPr>
                <w:rFonts w:ascii="Aptos" w:hAnsi="Aptos"/>
                <w:b w:val="0"/>
                <w:color w:val="27352D"/>
                <w:sz w:val="15"/>
              </w:rPr>
              <w:t>No employer is contacted for a live reconfirmation; freshness dates come from demo records.</w:t>
            </w:r>
          </w:p>
        </w:tc>
      </w:tr>
      <w:tr>
        <w:trPr>
          <w:cantSplit/>
        </w:trPr>
        <w:tc>
          <w:tcPr>
            <w:tcW w:type="dxa" w:w="2160"/>
            <w:vAlign w:val="center"/>
            <w:shd w:fill="F5F0E5"/>
          </w:tcPr>
          <w:p>
            <w:pPr>
              <w:spacing w:after="20" w:before="20" w:line="252" w:lineRule="auto"/>
            </w:pPr>
            <w:r/>
            <w:r>
              <w:rPr>
                <w:rFonts w:ascii="Aptos" w:hAnsi="Aptos"/>
                <w:b w:val="0"/>
                <w:color w:val="27352D"/>
                <w:sz w:val="15"/>
              </w:rPr>
              <w:t>2. Data harvesting and impostor agencies</w:t>
            </w:r>
          </w:p>
        </w:tc>
        <w:tc>
          <w:tcPr>
            <w:tcW w:type="dxa" w:w="4680"/>
            <w:vAlign w:val="center"/>
            <w:shd w:fill="F5F0E5"/>
          </w:tcPr>
          <w:p>
            <w:pPr>
              <w:spacing w:after="20" w:before="20" w:line="252" w:lineRule="auto"/>
            </w:pPr>
            <w:r/>
            <w:r>
              <w:rPr>
                <w:rFonts w:ascii="Aptos" w:hAnsi="Aptos"/>
                <w:b w:val="0"/>
                <w:color w:val="27352D"/>
                <w:sz w:val="15"/>
              </w:rPr>
              <w:t>Trust checks flag suspicious wording, early requests for identity or banking details, and some email/domain inconsistencies. Profile copy warns against Aadhaar, PAN, bank, and OTP sharing.</w:t>
            </w:r>
          </w:p>
        </w:tc>
        <w:tc>
          <w:tcPr>
            <w:tcW w:type="dxa" w:w="3240"/>
            <w:vAlign w:val="center"/>
            <w:shd w:fill="F5F0E5"/>
          </w:tcPr>
          <w:p>
            <w:pPr>
              <w:spacing w:after="20" w:before="20" w:line="252" w:lineRule="auto"/>
            </w:pPr>
            <w:r/>
            <w:r>
              <w:rPr>
                <w:rFonts w:ascii="Aptos" w:hAnsi="Aptos"/>
                <w:b w:val="0"/>
                <w:color w:val="27352D"/>
                <w:sz w:val="15"/>
              </w:rPr>
              <w:t>Rule flags are not identity verification. No government ID or bank verification provider is connected.</w:t>
            </w:r>
          </w:p>
        </w:tc>
      </w:tr>
      <w:tr>
        <w:trPr>
          <w:cantSplit/>
        </w:trPr>
        <w:tc>
          <w:tcPr>
            <w:tcW w:type="dxa" w:w="2160"/>
            <w:vAlign w:val="center"/>
            <w:shd w:fill="FAF7EF"/>
          </w:tcPr>
          <w:p>
            <w:pPr>
              <w:spacing w:after="20" w:before="20" w:line="252" w:lineRule="auto"/>
            </w:pPr>
            <w:r/>
            <w:r>
              <w:rPr>
                <w:rFonts w:ascii="Aptos" w:hAnsi="Aptos"/>
                <w:b w:val="0"/>
                <w:color w:val="27352D"/>
                <w:sz w:val="15"/>
              </w:rPr>
              <w:t>3. Vacancy inflation and application black holes</w:t>
            </w:r>
          </w:p>
        </w:tc>
        <w:tc>
          <w:tcPr>
            <w:tcW w:type="dxa" w:w="4680"/>
            <w:vAlign w:val="center"/>
            <w:shd w:fill="FAF7EF"/>
          </w:tcPr>
          <w:p>
            <w:pPr>
              <w:spacing w:after="20" w:before="20" w:line="252" w:lineRule="auto"/>
            </w:pPr>
            <w:r/>
            <w:r>
              <w:rPr>
                <w:rFonts w:ascii="Aptos" w:hAnsi="Aptos"/>
                <w:b w:val="0"/>
                <w:color w:val="27352D"/>
                <w:sz w:val="15"/>
              </w:rPr>
              <w:t>Exact repeated records are grouped in the interface. Employer submissions stay Pending review and are excluded from public job search.</w:t>
            </w:r>
          </w:p>
        </w:tc>
        <w:tc>
          <w:tcPr>
            <w:tcW w:type="dxa" w:w="3240"/>
            <w:vAlign w:val="center"/>
            <w:shd w:fill="FAF7EF"/>
          </w:tcPr>
          <w:p>
            <w:pPr>
              <w:spacing w:after="20" w:before="20" w:line="252" w:lineRule="auto"/>
            </w:pPr>
            <w:r/>
            <w:r>
              <w:rPr>
                <w:rFonts w:ascii="Aptos" w:hAnsi="Aptos"/>
                <w:b w:val="0"/>
                <w:color w:val="27352D"/>
                <w:sz w:val="15"/>
              </w:rPr>
              <w:t>Full source lineage, large-scale scraper detection, and a reviewer console are not implemented.</w:t>
            </w:r>
          </w:p>
        </w:tc>
      </w:tr>
      <w:tr>
        <w:trPr>
          <w:cantSplit/>
        </w:trPr>
        <w:tc>
          <w:tcPr>
            <w:tcW w:type="dxa" w:w="2160"/>
            <w:vAlign w:val="center"/>
            <w:shd w:fill="F5F0E5"/>
          </w:tcPr>
          <w:p>
            <w:pPr>
              <w:spacing w:after="20" w:before="20" w:line="252" w:lineRule="auto"/>
            </w:pPr>
            <w:r/>
            <w:r>
              <w:rPr>
                <w:rFonts w:ascii="Aptos" w:hAnsi="Aptos"/>
                <w:b w:val="0"/>
                <w:color w:val="27352D"/>
                <w:sz w:val="15"/>
              </w:rPr>
              <w:t>4. Small-business exclusion</w:t>
            </w:r>
          </w:p>
        </w:tc>
        <w:tc>
          <w:tcPr>
            <w:tcW w:type="dxa" w:w="4680"/>
            <w:vAlign w:val="center"/>
            <w:shd w:fill="F5F0E5"/>
          </w:tcPr>
          <w:p>
            <w:pPr>
              <w:spacing w:after="20" w:before="20" w:line="252" w:lineRule="auto"/>
            </w:pPr>
            <w:r/>
            <w:r>
              <w:rPr>
                <w:rFonts w:ascii="Aptos" w:hAnsi="Aptos"/>
                <w:b w:val="0"/>
                <w:color w:val="27352D"/>
                <w:sz w:val="15"/>
              </w:rPr>
              <w:t>Employer intake accepts alternate local-business evidence routes; GSTIN and EPFO are not mandatory.</w:t>
            </w:r>
          </w:p>
        </w:tc>
        <w:tc>
          <w:tcPr>
            <w:tcW w:type="dxa" w:w="3240"/>
            <w:vAlign w:val="center"/>
            <w:shd w:fill="F5F0E5"/>
          </w:tcPr>
          <w:p>
            <w:pPr>
              <w:spacing w:after="20" w:before="20" w:line="252" w:lineRule="auto"/>
            </w:pPr>
            <w:r/>
            <w:r>
              <w:rPr>
                <w:rFonts w:ascii="Aptos" w:hAnsi="Aptos"/>
                <w:b w:val="0"/>
                <w:color w:val="27352D"/>
                <w:sz w:val="15"/>
              </w:rPr>
              <w:t>Evidence is collected for a future review workflow; no live reviewer adjudicates it.</w:t>
            </w:r>
          </w:p>
        </w:tc>
      </w:tr>
      <w:tr>
        <w:trPr>
          <w:cantSplit/>
        </w:trPr>
        <w:tc>
          <w:tcPr>
            <w:tcW w:type="dxa" w:w="2160"/>
            <w:vAlign w:val="center"/>
            <w:shd w:fill="FAF7EF"/>
          </w:tcPr>
          <w:p>
            <w:pPr>
              <w:spacing w:after="20" w:before="20" w:line="252" w:lineRule="auto"/>
            </w:pPr>
            <w:r/>
            <w:r>
              <w:rPr>
                <w:rFonts w:ascii="Aptos" w:hAnsi="Aptos"/>
                <w:b w:val="0"/>
                <w:color w:val="27352D"/>
                <w:sz w:val="15"/>
              </w:rPr>
              <w:t>5. Opaque rejection and no feedback</w:t>
            </w:r>
          </w:p>
        </w:tc>
        <w:tc>
          <w:tcPr>
            <w:tcW w:type="dxa" w:w="4680"/>
            <w:vAlign w:val="center"/>
            <w:shd w:fill="FAF7EF"/>
          </w:tcPr>
          <w:p>
            <w:pPr>
              <w:spacing w:after="20" w:before="20" w:line="252" w:lineRule="auto"/>
            </w:pPr>
            <w:r/>
            <w:r>
              <w:rPr>
                <w:rFonts w:ascii="Aptos" w:hAnsi="Aptos"/>
                <w:b w:val="0"/>
                <w:color w:val="27352D"/>
                <w:sz w:val="15"/>
              </w:rPr>
              <w:t>Candidates can track application status and follow-up reminders together. Employer feedback is displayed when available.</w:t>
            </w:r>
          </w:p>
        </w:tc>
        <w:tc>
          <w:tcPr>
            <w:tcW w:type="dxa" w:w="3240"/>
            <w:vAlign w:val="center"/>
            <w:shd w:fill="FAF7EF"/>
          </w:tcPr>
          <w:p>
            <w:pPr>
              <w:spacing w:after="20" w:before="20" w:line="252" w:lineRule="auto"/>
            </w:pPr>
            <w:r/>
            <w:r>
              <w:rPr>
                <w:rFonts w:ascii="Aptos" w:hAnsi="Aptos"/>
                <w:b w:val="0"/>
                <w:color w:val="27352D"/>
                <w:sz w:val="15"/>
              </w:rPr>
              <w:t>No automated diagnostic of a real employer’s rejection process exists; missing feedback remains missing.</w:t>
            </w:r>
          </w:p>
        </w:tc>
      </w:tr>
    </w:tbl>
    <w:p>
      <w:pPr>
        <w:spacing w:after="20"/>
      </w:pPr>
    </w:p>
    <w:p>
      <w:pPr>
        <w:pStyle w:val="Heading2"/>
      </w:pPr>
      <w:r>
        <w:t>Safety-check behavior</w:t>
      </w:r>
    </w:p>
    <w:p>
      <w:pPr>
        <w:pStyle w:val="ListBullet"/>
        <w:spacing w:after="60"/>
        <w:ind w:left="317" w:hanging="187"/>
      </w:pPr>
      <w:r>
        <w:t>Pasted job text is checked against explicit rule patterns for hiring fees, paid training kits, deposits, urgency, guarantees, and sensitive-data requests.</w:t>
      </w:r>
    </w:p>
    <w:p>
      <w:pPr>
        <w:pStyle w:val="ListBullet"/>
        <w:spacing w:after="60"/>
        <w:ind w:left="317" w:hanging="187"/>
      </w:pPr>
      <w:r>
        <w:t>The result shows matched wording, the reason it was flagged, and practical next steps. A warning is not labeled proof of fraud.</w:t>
      </w:r>
    </w:p>
    <w:p>
      <w:pPr>
        <w:pStyle w:val="ListBullet"/>
        <w:spacing w:after="60"/>
        <w:ind w:left="317" w:hanging="187"/>
      </w:pPr>
      <w:r>
        <w:t>Offline checks are text-only. They cannot verify a company, domain, vacancy, or recruiter.</w:t>
      </w:r>
    </w:p>
    <w:p>
      <w:r>
        <w:br w:type="page"/>
      </w:r>
    </w:p>
    <w:p>
      <w:pPr>
        <w:pStyle w:val="Heading1"/>
      </w:pPr>
      <w:r>
        <w:t>Problem coverage continued</w:t>
      </w:r>
    </w:p>
    <w:tbl>
      <w:tblPr>
        <w:tblStyle w:val="TableGrid"/>
        <w:tblW w:type="auto" w:w="0"/>
        <w:jc w:val="center"/>
        <w:tblLayout w:type="fixed"/>
        <w:tblLook w:firstColumn="1" w:firstRow="1" w:lastColumn="0" w:lastRow="0" w:noHBand="0" w:noVBand="1" w:val="04A0"/>
      </w:tblPr>
      <w:tblGrid>
        <w:gridCol w:w="3389"/>
        <w:gridCol w:w="3389"/>
        <w:gridCol w:w="3389"/>
      </w:tblGrid>
      <w:tr>
        <w:trPr>
          <w:cantSplit/>
        </w:trPr>
        <w:tc>
          <w:tcPr>
            <w:tcW w:type="dxa" w:w="2160"/>
            <w:vAlign w:val="center"/>
            <w:shd w:fill="244B37"/>
          </w:tcPr>
          <w:p>
            <w:pPr>
              <w:spacing w:after="20" w:before="20" w:line="252" w:lineRule="auto"/>
            </w:pPr>
            <w:r/>
            <w:r>
              <w:rPr>
                <w:rFonts w:ascii="Aptos" w:hAnsi="Aptos"/>
                <w:b/>
                <w:color w:val="FFFFFF"/>
                <w:sz w:val="15"/>
              </w:rPr>
              <w:t>Problem</w:t>
            </w:r>
          </w:p>
        </w:tc>
        <w:tc>
          <w:tcPr>
            <w:tcW w:type="dxa" w:w="4680"/>
            <w:vAlign w:val="center"/>
            <w:shd w:fill="244B37"/>
          </w:tcPr>
          <w:p>
            <w:pPr>
              <w:spacing w:after="20" w:before="20" w:line="252" w:lineRule="auto"/>
            </w:pPr>
            <w:r/>
            <w:r>
              <w:rPr>
                <w:rFonts w:ascii="Aptos" w:hAnsi="Aptos"/>
                <w:b/>
                <w:color w:val="FFFFFF"/>
                <w:sz w:val="15"/>
              </w:rPr>
              <w:t>Prototype response</w:t>
            </w:r>
          </w:p>
        </w:tc>
        <w:tc>
          <w:tcPr>
            <w:tcW w:type="dxa" w:w="3240"/>
            <w:vAlign w:val="center"/>
            <w:shd w:fill="244B37"/>
          </w:tcPr>
          <w:p>
            <w:pPr>
              <w:spacing w:after="20" w:before="20" w:line="252" w:lineRule="auto"/>
            </w:pPr>
            <w:r/>
            <w:r>
              <w:rPr>
                <w:rFonts w:ascii="Aptos" w:hAnsi="Aptos"/>
                <w:b/>
                <w:color w:val="FFFFFF"/>
                <w:sz w:val="15"/>
              </w:rPr>
              <w:t>Boundary</w:t>
            </w:r>
          </w:p>
        </w:tc>
      </w:tr>
      <w:tr>
        <w:trPr>
          <w:cantSplit/>
        </w:trPr>
        <w:tc>
          <w:tcPr>
            <w:tcW w:type="dxa" w:w="2160"/>
            <w:vAlign w:val="center"/>
            <w:shd w:fill="FAF7EF"/>
          </w:tcPr>
          <w:p>
            <w:pPr>
              <w:spacing w:after="20" w:before="20" w:line="252" w:lineRule="auto"/>
            </w:pPr>
            <w:r/>
            <w:r>
              <w:rPr>
                <w:rFonts w:ascii="Aptos" w:hAnsi="Aptos"/>
                <w:b w:val="0"/>
                <w:color w:val="27352D"/>
                <w:sz w:val="15"/>
              </w:rPr>
              <w:t>6. Language and bureaucratic jargon</w:t>
            </w:r>
          </w:p>
        </w:tc>
        <w:tc>
          <w:tcPr>
            <w:tcW w:type="dxa" w:w="4680"/>
            <w:vAlign w:val="center"/>
            <w:shd w:fill="FAF7EF"/>
          </w:tcPr>
          <w:p>
            <w:pPr>
              <w:spacing w:after="20" w:before="20" w:line="252" w:lineRule="auto"/>
            </w:pPr>
            <w:r/>
            <w:r>
              <w:rPr>
                <w:rFonts w:ascii="Aptos" w:hAnsi="Aptos"/>
                <w:b w:val="0"/>
                <w:color w:val="27352D"/>
                <w:sz w:val="15"/>
              </w:rPr>
              <w:t>A plain-language guide offers 13 language choices and curated explanations for probation, notice periods, bonds, take-home pay, CTC, contract roles, social protection, and hiring-fee warnings.</w:t>
            </w:r>
          </w:p>
        </w:tc>
        <w:tc>
          <w:tcPr>
            <w:tcW w:type="dxa" w:w="3240"/>
            <w:vAlign w:val="center"/>
            <w:shd w:fill="FAF7EF"/>
          </w:tcPr>
          <w:p>
            <w:pPr>
              <w:spacing w:after="20" w:before="20" w:line="252" w:lineRule="auto"/>
            </w:pPr>
            <w:r/>
            <w:r>
              <w:rPr>
                <w:rFonts w:ascii="Aptos" w:hAnsi="Aptos"/>
                <w:b w:val="0"/>
                <w:color w:val="27352D"/>
                <w:sz w:val="15"/>
              </w:rPr>
              <w:t>It is an offline glossary and rule-based helper, not a general-purpose translator. Listing text is not automatically translated.</w:t>
            </w:r>
          </w:p>
        </w:tc>
      </w:tr>
      <w:tr>
        <w:trPr>
          <w:cantSplit/>
        </w:trPr>
        <w:tc>
          <w:tcPr>
            <w:tcW w:type="dxa" w:w="2160"/>
            <w:vAlign w:val="center"/>
            <w:shd w:fill="F5F0E5"/>
          </w:tcPr>
          <w:p>
            <w:pPr>
              <w:spacing w:after="20" w:before="20" w:line="252" w:lineRule="auto"/>
            </w:pPr>
            <w:r/>
            <w:r>
              <w:rPr>
                <w:rFonts w:ascii="Aptos" w:hAnsi="Aptos"/>
                <w:b w:val="0"/>
                <w:color w:val="27352D"/>
                <w:sz w:val="15"/>
              </w:rPr>
              <w:t>7. Predatory training and placement charges</w:t>
            </w:r>
          </w:p>
        </w:tc>
        <w:tc>
          <w:tcPr>
            <w:tcW w:type="dxa" w:w="4680"/>
            <w:vAlign w:val="center"/>
            <w:shd w:fill="F5F0E5"/>
          </w:tcPr>
          <w:p>
            <w:pPr>
              <w:spacing w:after="20" w:before="20" w:line="252" w:lineRule="auto"/>
            </w:pPr>
            <w:r/>
            <w:r>
              <w:rPr>
                <w:rFonts w:ascii="Aptos" w:hAnsi="Aptos"/>
                <w:b w:val="0"/>
                <w:color w:val="27352D"/>
                <w:sz w:val="15"/>
              </w:rPr>
              <w:t>The safety rules flag placement, toolkit, training, onboarding, and deposit language. Employer intake includes a no-fee pledge.</w:t>
            </w:r>
          </w:p>
        </w:tc>
        <w:tc>
          <w:tcPr>
            <w:tcW w:type="dxa" w:w="3240"/>
            <w:vAlign w:val="center"/>
            <w:shd w:fill="F5F0E5"/>
          </w:tcPr>
          <w:p>
            <w:pPr>
              <w:spacing w:after="20" w:before="20" w:line="252" w:lineRule="auto"/>
            </w:pPr>
            <w:r/>
            <w:r>
              <w:rPr>
                <w:rFonts w:ascii="Aptos" w:hAnsi="Aptos"/>
                <w:b w:val="0"/>
                <w:color w:val="27352D"/>
                <w:sz w:val="15"/>
              </w:rPr>
              <w:t>Detection is based on wording and supplied records; no live moderation or verification service is connected.</w:t>
            </w:r>
          </w:p>
        </w:tc>
      </w:tr>
      <w:tr>
        <w:trPr>
          <w:cantSplit/>
        </w:trPr>
        <w:tc>
          <w:tcPr>
            <w:tcW w:type="dxa" w:w="2160"/>
            <w:vAlign w:val="center"/>
            <w:shd w:fill="FAF7EF"/>
          </w:tcPr>
          <w:p>
            <w:pPr>
              <w:spacing w:after="20" w:before="20" w:line="252" w:lineRule="auto"/>
            </w:pPr>
            <w:r/>
            <w:r>
              <w:rPr>
                <w:rFonts w:ascii="Aptos" w:hAnsi="Aptos"/>
                <w:b w:val="0"/>
                <w:color w:val="27352D"/>
                <w:sz w:val="15"/>
              </w:rPr>
              <w:t>8. Career quality and mobility</w:t>
            </w:r>
          </w:p>
        </w:tc>
        <w:tc>
          <w:tcPr>
            <w:tcW w:type="dxa" w:w="4680"/>
            <w:vAlign w:val="center"/>
            <w:shd w:fill="FAF7EF"/>
          </w:tcPr>
          <w:p>
            <w:pPr>
              <w:spacing w:after="20" w:before="20" w:line="252" w:lineRule="auto"/>
            </w:pPr>
            <w:r/>
            <w:r>
              <w:rPr>
                <w:rFonts w:ascii="Aptos" w:hAnsi="Aptos"/>
                <w:b w:val="0"/>
                <w:color w:val="27352D"/>
                <w:sz w:val="15"/>
              </w:rPr>
              <w:t>Listing details can show pay, social-protection benefits, work arrangement, and progression when an employer supplies them. Missing information stays marked as missing.</w:t>
            </w:r>
          </w:p>
        </w:tc>
        <w:tc>
          <w:tcPr>
            <w:tcW w:type="dxa" w:w="3240"/>
            <w:vAlign w:val="center"/>
            <w:shd w:fill="FAF7EF"/>
          </w:tcPr>
          <w:p>
            <w:pPr>
              <w:spacing w:after="20" w:before="20" w:line="252" w:lineRule="auto"/>
            </w:pPr>
            <w:r/>
            <w:r>
              <w:rPr>
                <w:rFonts w:ascii="Aptos" w:hAnsi="Aptos"/>
                <w:b w:val="0"/>
                <w:color w:val="27352D"/>
                <w:sz w:val="15"/>
              </w:rPr>
              <w:t>Quality data is optional and fictional in this dataset. No wage-growth or long-term progression tracking exists.</w:t>
            </w:r>
          </w:p>
        </w:tc>
      </w:tr>
      <w:tr>
        <w:trPr>
          <w:cantSplit/>
        </w:trPr>
        <w:tc>
          <w:tcPr>
            <w:tcW w:type="dxa" w:w="2160"/>
            <w:vAlign w:val="center"/>
            <w:shd w:fill="F5F0E5"/>
          </w:tcPr>
          <w:p>
            <w:pPr>
              <w:spacing w:after="20" w:before="20" w:line="252" w:lineRule="auto"/>
            </w:pPr>
            <w:r/>
            <w:r>
              <w:rPr>
                <w:rFonts w:ascii="Aptos" w:hAnsi="Aptos"/>
                <w:b w:val="0"/>
                <w:color w:val="27352D"/>
                <w:sz w:val="15"/>
              </w:rPr>
              <w:t>9. Fragmented applications</w:t>
            </w:r>
          </w:p>
        </w:tc>
        <w:tc>
          <w:tcPr>
            <w:tcW w:type="dxa" w:w="4680"/>
            <w:vAlign w:val="center"/>
            <w:shd w:fill="F5F0E5"/>
          </w:tcPr>
          <w:p>
            <w:pPr>
              <w:spacing w:after="20" w:before="20" w:line="252" w:lineRule="auto"/>
            </w:pPr>
            <w:r/>
            <w:r>
              <w:rPr>
                <w:rFonts w:ascii="Aptos" w:hAnsi="Aptos"/>
                <w:b w:val="0"/>
                <w:color w:val="27352D"/>
                <w:sz w:val="15"/>
              </w:rPr>
              <w:t>The application tracker consolidates saved roles, status, follow-up dates, and notes.</w:t>
            </w:r>
          </w:p>
        </w:tc>
        <w:tc>
          <w:tcPr>
            <w:tcW w:type="dxa" w:w="3240"/>
            <w:vAlign w:val="center"/>
            <w:shd w:fill="F5F0E5"/>
          </w:tcPr>
          <w:p>
            <w:pPr>
              <w:spacing w:after="20" w:before="20" w:line="252" w:lineRule="auto"/>
            </w:pPr>
            <w:r/>
            <w:r>
              <w:rPr>
                <w:rFonts w:ascii="Aptos" w:hAnsi="Aptos"/>
                <w:b w:val="0"/>
                <w:color w:val="27352D"/>
                <w:sz w:val="15"/>
              </w:rPr>
              <w:t>There are no connectors to external ATS systems, email, WhatsApp, or other job portals.</w:t>
            </w:r>
          </w:p>
        </w:tc>
      </w:tr>
      <w:tr>
        <w:trPr>
          <w:cantSplit/>
        </w:trPr>
        <w:tc>
          <w:tcPr>
            <w:tcW w:type="dxa" w:w="2160"/>
            <w:vAlign w:val="center"/>
            <w:shd w:fill="FAF7EF"/>
          </w:tcPr>
          <w:p>
            <w:pPr>
              <w:spacing w:after="20" w:before="20" w:line="252" w:lineRule="auto"/>
            </w:pPr>
            <w:r/>
            <w:r>
              <w:rPr>
                <w:rFonts w:ascii="Aptos" w:hAnsi="Aptos"/>
                <w:b w:val="0"/>
                <w:color w:val="27352D"/>
                <w:sz w:val="15"/>
              </w:rPr>
              <w:t>10. Proxy discrimination</w:t>
            </w:r>
          </w:p>
        </w:tc>
        <w:tc>
          <w:tcPr>
            <w:tcW w:type="dxa" w:w="4680"/>
            <w:vAlign w:val="center"/>
            <w:shd w:fill="FAF7EF"/>
          </w:tcPr>
          <w:p>
            <w:pPr>
              <w:spacing w:after="20" w:before="20" w:line="252" w:lineRule="auto"/>
            </w:pPr>
            <w:r/>
            <w:r>
              <w:rPr>
                <w:rFonts w:ascii="Aptos" w:hAnsi="Aptos"/>
                <w:b w:val="0"/>
                <w:color w:val="27352D"/>
                <w:sz w:val="15"/>
              </w:rPr>
              <w:t>The matcher uses explicit role skills and evidence. A controlled fairness screen compares scores after changing selected proxy metadata such as college tier, location, or career gaps.</w:t>
            </w:r>
          </w:p>
        </w:tc>
        <w:tc>
          <w:tcPr>
            <w:tcW w:type="dxa" w:w="3240"/>
            <w:vAlign w:val="center"/>
            <w:shd w:fill="FAF7EF"/>
          </w:tcPr>
          <w:p>
            <w:pPr>
              <w:spacing w:after="20" w:before="20" w:line="252" w:lineRule="auto"/>
            </w:pPr>
            <w:r/>
            <w:r>
              <w:rPr>
                <w:rFonts w:ascii="Aptos" w:hAnsi="Aptos"/>
                <w:b w:val="0"/>
                <w:color w:val="27352D"/>
                <w:sz w:val="15"/>
              </w:rPr>
              <w:t>The audit is synthetic and narrow; it is not a statistical fairness certification or a real-world outcome study.</w:t>
            </w:r>
          </w:p>
        </w:tc>
      </w:tr>
    </w:tbl>
    <w:p>
      <w:pPr>
        <w:spacing w:after="20"/>
      </w:pPr>
    </w:p>
    <w:p>
      <w:pPr>
        <w:pStyle w:val="Heading2"/>
      </w:pPr>
      <w:r>
        <w:t>Matching and evaluation</w:t>
      </w:r>
    </w:p>
    <w:p>
      <w:r>
        <w:t>The match score is a deterministic measure of requirement coverage, not a hiring probability. Mandatory requirements carry weight 2 and preferred requirements weight 1. Candidate proficiency from 0 to 3 contributes proportionally; demonstrated evidence adds up to 0.25 credit, capped at full credit. The evaluation screen computes precision, recall, and related counts on fictional labeled examples only.</w:t>
      </w:r>
    </w:p>
    <w:p>
      <w:r>
        <w:t>Trust scores are transparent additive rule points with a cap. They are not probabilities, calibrated risk estimates, or an independent verdict.</w:t>
      </w:r>
    </w:p>
    <w:p>
      <w:r>
        <w:br w:type="page"/>
      </w:r>
    </w:p>
    <w:p>
      <w:pPr>
        <w:pStyle w:val="Heading1"/>
      </w:pPr>
      <w:r>
        <w:t>Technology, data, and offline operation</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232"/>
            <w:vAlign w:val="center"/>
            <w:shd w:fill="244B37"/>
          </w:tcPr>
          <w:p>
            <w:pPr>
              <w:spacing w:after="20" w:before="20" w:line="252" w:lineRule="auto"/>
            </w:pPr>
            <w:r/>
            <w:r>
              <w:rPr>
                <w:rFonts w:ascii="Aptos" w:hAnsi="Aptos"/>
                <w:b/>
                <w:color w:val="FFFFFF"/>
                <w:sz w:val="16"/>
              </w:rPr>
              <w:t>Layer</w:t>
            </w:r>
          </w:p>
        </w:tc>
        <w:tc>
          <w:tcPr>
            <w:tcW w:type="dxa" w:w="7848"/>
            <w:vAlign w:val="center"/>
            <w:shd w:fill="244B37"/>
          </w:tcPr>
          <w:p>
            <w:pPr>
              <w:spacing w:after="20" w:before="20" w:line="252" w:lineRule="auto"/>
            </w:pPr>
            <w:r/>
            <w:r>
              <w:rPr>
                <w:rFonts w:ascii="Aptos" w:hAnsi="Aptos"/>
                <w:b/>
                <w:color w:val="FFFFFF"/>
                <w:sz w:val="16"/>
              </w:rPr>
              <w:t>Technology and responsibility</w:t>
            </w:r>
          </w:p>
        </w:tc>
      </w:tr>
      <w:tr>
        <w:trPr>
          <w:cantSplit/>
        </w:trPr>
        <w:tc>
          <w:tcPr>
            <w:tcW w:type="dxa" w:w="2232"/>
            <w:vAlign w:val="center"/>
            <w:shd w:fill="FAF7EF"/>
          </w:tcPr>
          <w:p>
            <w:pPr>
              <w:spacing w:after="20" w:before="20" w:line="252" w:lineRule="auto"/>
            </w:pPr>
            <w:r/>
            <w:r>
              <w:rPr>
                <w:rFonts w:ascii="Aptos" w:hAnsi="Aptos"/>
                <w:b w:val="0"/>
                <w:color w:val="27352D"/>
                <w:sz w:val="16"/>
              </w:rPr>
              <w:t>Web client</w:t>
            </w:r>
          </w:p>
        </w:tc>
        <w:tc>
          <w:tcPr>
            <w:tcW w:type="dxa" w:w="7848"/>
            <w:vAlign w:val="center"/>
            <w:shd w:fill="FAF7EF"/>
          </w:tcPr>
          <w:p>
            <w:pPr>
              <w:spacing w:after="20" w:before="20" w:line="252" w:lineRule="auto"/>
            </w:pPr>
            <w:r/>
            <w:r>
              <w:rPr>
                <w:rFonts w:ascii="Aptos" w:hAnsi="Aptos"/>
                <w:b w:val="0"/>
                <w:color w:val="27352D"/>
                <w:sz w:val="16"/>
              </w:rPr>
              <w:t>React, TypeScript, Vite, Lucide icons, custom responsive CSS; PWA manifest and service worker for the app shell.</w:t>
            </w:r>
          </w:p>
        </w:tc>
      </w:tr>
      <w:tr>
        <w:trPr>
          <w:cantSplit/>
        </w:trPr>
        <w:tc>
          <w:tcPr>
            <w:tcW w:type="dxa" w:w="2232"/>
            <w:vAlign w:val="center"/>
            <w:shd w:fill="F5F0E5"/>
          </w:tcPr>
          <w:p>
            <w:pPr>
              <w:spacing w:after="20" w:before="20" w:line="252" w:lineRule="auto"/>
            </w:pPr>
            <w:r/>
            <w:r>
              <w:rPr>
                <w:rFonts w:ascii="Aptos" w:hAnsi="Aptos"/>
                <w:b w:val="0"/>
                <w:color w:val="27352D"/>
                <w:sz w:val="16"/>
              </w:rPr>
              <w:t>API</w:t>
            </w:r>
          </w:p>
        </w:tc>
        <w:tc>
          <w:tcPr>
            <w:tcW w:type="dxa" w:w="7848"/>
            <w:vAlign w:val="center"/>
            <w:shd w:fill="F5F0E5"/>
          </w:tcPr>
          <w:p>
            <w:pPr>
              <w:spacing w:after="20" w:before="20" w:line="252" w:lineRule="auto"/>
            </w:pPr>
            <w:r/>
            <w:r>
              <w:rPr>
                <w:rFonts w:ascii="Aptos" w:hAnsi="Aptos"/>
                <w:b w:val="0"/>
                <w:color w:val="27352D"/>
                <w:sz w:val="16"/>
              </w:rPr>
              <w:t>Python 3.10+ and Flask with Flask-CORS and Flask-SQLAlchemy. JSON API paths use /api; local development uses port 5000.</w:t>
            </w:r>
          </w:p>
        </w:tc>
      </w:tr>
      <w:tr>
        <w:trPr>
          <w:cantSplit/>
        </w:trPr>
        <w:tc>
          <w:tcPr>
            <w:tcW w:type="dxa" w:w="2232"/>
            <w:vAlign w:val="center"/>
            <w:shd w:fill="FAF7EF"/>
          </w:tcPr>
          <w:p>
            <w:pPr>
              <w:spacing w:after="20" w:before="20" w:line="252" w:lineRule="auto"/>
            </w:pPr>
            <w:r/>
            <w:r>
              <w:rPr>
                <w:rFonts w:ascii="Aptos" w:hAnsi="Aptos"/>
                <w:b w:val="0"/>
                <w:color w:val="27352D"/>
                <w:sz w:val="16"/>
              </w:rPr>
              <w:t>Persistence</w:t>
            </w:r>
          </w:p>
        </w:tc>
        <w:tc>
          <w:tcPr>
            <w:tcW w:type="dxa" w:w="7848"/>
            <w:vAlign w:val="center"/>
            <w:shd w:fill="FAF7EF"/>
          </w:tcPr>
          <w:p>
            <w:pPr>
              <w:spacing w:after="20" w:before="20" w:line="252" w:lineRule="auto"/>
            </w:pPr>
            <w:r/>
            <w:r>
              <w:rPr>
                <w:rFonts w:ascii="Aptos" w:hAnsi="Aptos"/>
                <w:b w:val="0"/>
                <w:color w:val="27352D"/>
                <w:sz w:val="16"/>
              </w:rPr>
              <w:t>SQLite file under backend/instance. The database is local to this prototype and initialized with fictional seed records.</w:t>
            </w:r>
          </w:p>
        </w:tc>
      </w:tr>
      <w:tr>
        <w:trPr>
          <w:cantSplit/>
        </w:trPr>
        <w:tc>
          <w:tcPr>
            <w:tcW w:type="dxa" w:w="2232"/>
            <w:vAlign w:val="center"/>
            <w:shd w:fill="F5F0E5"/>
          </w:tcPr>
          <w:p>
            <w:pPr>
              <w:spacing w:after="20" w:before="20" w:line="252" w:lineRule="auto"/>
            </w:pPr>
            <w:r/>
            <w:r>
              <w:rPr>
                <w:rFonts w:ascii="Aptos" w:hAnsi="Aptos"/>
                <w:b w:val="0"/>
                <w:color w:val="27352D"/>
                <w:sz w:val="16"/>
              </w:rPr>
              <w:t>Accessibility and low bandwidth</w:t>
            </w:r>
          </w:p>
        </w:tc>
        <w:tc>
          <w:tcPr>
            <w:tcW w:type="dxa" w:w="7848"/>
            <w:vAlign w:val="center"/>
            <w:shd w:fill="F5F0E5"/>
          </w:tcPr>
          <w:p>
            <w:pPr>
              <w:spacing w:after="20" w:before="20" w:line="252" w:lineRule="auto"/>
            </w:pPr>
            <w:r/>
            <w:r>
              <w:rPr>
                <w:rFonts w:ascii="Aptos" w:hAnsi="Aptos"/>
                <w:b w:val="0"/>
                <w:color w:val="27352D"/>
                <w:sz w:val="16"/>
              </w:rPr>
              <w:t>Keyboard focus styles, responsive layouts, reduced-motion support, cached shell and static assets, and a limited public-data cache.</w:t>
            </w:r>
          </w:p>
        </w:tc>
      </w:tr>
      <w:tr>
        <w:trPr>
          <w:cantSplit/>
        </w:trPr>
        <w:tc>
          <w:tcPr>
            <w:tcW w:type="dxa" w:w="2232"/>
            <w:vAlign w:val="center"/>
            <w:shd w:fill="FAF7EF"/>
          </w:tcPr>
          <w:p>
            <w:pPr>
              <w:spacing w:after="20" w:before="20" w:line="252" w:lineRule="auto"/>
            </w:pPr>
            <w:r/>
            <w:r>
              <w:rPr>
                <w:rFonts w:ascii="Aptos" w:hAnsi="Aptos"/>
                <w:b w:val="0"/>
                <w:color w:val="27352D"/>
                <w:sz w:val="16"/>
              </w:rPr>
              <w:t>Language support</w:t>
            </w:r>
          </w:p>
        </w:tc>
        <w:tc>
          <w:tcPr>
            <w:tcW w:type="dxa" w:w="7848"/>
            <w:vAlign w:val="center"/>
            <w:shd w:fill="FAF7EF"/>
          </w:tcPr>
          <w:p>
            <w:pPr>
              <w:spacing w:after="20" w:before="20" w:line="252" w:lineRule="auto"/>
            </w:pPr>
            <w:r/>
            <w:r>
              <w:rPr>
                <w:rFonts w:ascii="Aptos" w:hAnsi="Aptos"/>
                <w:b w:val="0"/>
                <w:color w:val="27352D"/>
                <w:sz w:val="16"/>
              </w:rPr>
              <w:t>Curated phrases and common employment definitions run in the browser without a model or external translation call.</w:t>
            </w:r>
          </w:p>
        </w:tc>
      </w:tr>
    </w:tbl>
    <w:p>
      <w:pPr>
        <w:spacing w:after="20"/>
      </w:pPr>
    </w:p>
    <w:p>
      <w:pPr>
        <w:pStyle w:val="Heading2"/>
      </w:pPr>
      <w:r>
        <w:t>Offline behavior</w:t>
      </w:r>
    </w:p>
    <w:p>
      <w:pPr>
        <w:pStyle w:val="ListBullet"/>
        <w:spacing w:after="60"/>
        <w:ind w:left="317" w:hanging="187"/>
      </w:pPr>
      <w:r>
        <w:t>The service worker caches the web shell, static assets, and selected public data after a successful read. It does not cache private profiles, applications, trust notes, or consent records as HTTP cache entries.</w:t>
      </w:r>
    </w:p>
    <w:p>
      <w:pPr>
        <w:pStyle w:val="ListBullet"/>
        <w:spacing w:after="60"/>
        <w:ind w:left="317" w:hanging="187"/>
      </w:pPr>
      <w:r>
        <w:t>If the API is unavailable, the site shows a clearly labeled offline directory of six fictional sample roles. Cached listing snapshots may be used when available; they are not live vacancies.</w:t>
      </w:r>
    </w:p>
    <w:p>
      <w:pPr>
        <w:pStyle w:val="ListBullet"/>
        <w:spacing w:after="60"/>
        <w:ind w:left="317" w:hanging="187"/>
      </w:pPr>
      <w:r>
        <w:t>Profile edits and evidence can be stored on the device and queued for sync when the API returns. Other write actions require a connection; offline company browsing is read-only.</w:t>
      </w:r>
    </w:p>
    <w:p>
      <w:pPr>
        <w:pStyle w:val="ListBullet"/>
        <w:spacing w:after="60"/>
        <w:ind w:left="317" w:hanging="187"/>
      </w:pPr>
      <w:r>
        <w:t>For a phone on the same Wi-Fi, configure VITE_API_BASE with the development computer’s reachable API URL and add the frontend origin to CAREERTRUST_ALLOWED_ORIGINS. Production should serve the site and API through a configured origin.</w:t>
      </w:r>
    </w:p>
    <w:p>
      <w:pPr>
        <w:pStyle w:val="Heading2"/>
      </w:pPr>
      <w:r>
        <w:t>Run locally</w:t>
      </w:r>
    </w:p>
    <w:p>
      <w:r>
        <w:t>Backend: create a Python virtual environment in backend, install backend/requirements.txt, then run python app.py. The API listens on http://localhost:5000.</w:t>
      </w:r>
    </w:p>
    <w:p>
      <w:r>
        <w:t>Frontend: install dependencies in frontend, then run npm run dev. Open http://localhost:5173.</w:t>
      </w:r>
    </w:p>
    <w:p>
      <w:r>
        <w:t>For a repeatable backend check, run python -m unittest -v test_app.py from the backend directory.</w:t>
      </w:r>
    </w:p>
    <w:p>
      <w:pPr>
        <w:pStyle w:val="Heading2"/>
      </w:pPr>
      <w:r>
        <w:t>Data protection</w:t>
      </w:r>
    </w:p>
    <w:p>
      <w:r>
        <w:t>This prototype is not an identity-verification or government-account system. It does not ask for Aadhaar, PAN, bank credentials, OTPs, or payment details. The profile contains ordinary career fields; when online, demo records are stored in local SQLite. Trust reports and profile content should remain fictional during demonstrations. Do not enter real sensitive information.</w:t>
      </w:r>
    </w:p>
    <w:p>
      <w:r>
        <w:br w:type="page"/>
      </w:r>
    </w:p>
    <w:p>
      <w:pPr>
        <w:pStyle w:val="Heading1"/>
      </w:pPr>
      <w:r>
        <w:t>Verification status and remaining work</w:t>
      </w:r>
    </w:p>
    <w:tbl>
      <w:tblPr>
        <w:tblStyle w:val="TableGrid"/>
        <w:tblW w:type="auto" w:w="0"/>
        <w:jc w:val="center"/>
        <w:tblLayout w:type="fixed"/>
        <w:tblLook w:firstColumn="1" w:firstRow="1" w:lastColumn="0" w:lastRow="0" w:noHBand="0" w:noVBand="1" w:val="04A0"/>
      </w:tblPr>
      <w:tblGrid>
        <w:gridCol w:w="5083"/>
        <w:gridCol w:w="5083"/>
      </w:tblGrid>
      <w:tr>
        <w:trPr>
          <w:cantSplit/>
        </w:trPr>
        <w:tc>
          <w:tcPr>
            <w:tcW w:type="dxa" w:w="2520"/>
            <w:vAlign w:val="center"/>
            <w:shd w:fill="244B37"/>
          </w:tcPr>
          <w:p>
            <w:pPr>
              <w:spacing w:after="20" w:before="20" w:line="252" w:lineRule="auto"/>
            </w:pPr>
            <w:r/>
            <w:r>
              <w:rPr>
                <w:rFonts w:ascii="Aptos" w:hAnsi="Aptos"/>
                <w:b/>
                <w:color w:val="FFFFFF"/>
                <w:sz w:val="16"/>
              </w:rPr>
              <w:t>Check</w:t>
            </w:r>
          </w:p>
        </w:tc>
        <w:tc>
          <w:tcPr>
            <w:tcW w:type="dxa" w:w="7560"/>
            <w:vAlign w:val="center"/>
            <w:shd w:fill="244B37"/>
          </w:tcPr>
          <w:p>
            <w:pPr>
              <w:spacing w:after="20" w:before="20" w:line="252" w:lineRule="auto"/>
            </w:pPr>
            <w:r/>
            <w:r>
              <w:rPr>
                <w:rFonts w:ascii="Aptos" w:hAnsi="Aptos"/>
                <w:b/>
                <w:color w:val="FFFFFF"/>
                <w:sz w:val="16"/>
              </w:rPr>
              <w:t>Result in this environment</w:t>
            </w:r>
          </w:p>
        </w:tc>
      </w:tr>
      <w:tr>
        <w:trPr>
          <w:cantSplit/>
        </w:trPr>
        <w:tc>
          <w:tcPr>
            <w:tcW w:type="dxa" w:w="2520"/>
            <w:vAlign w:val="center"/>
            <w:shd w:fill="FAF7EF"/>
          </w:tcPr>
          <w:p>
            <w:pPr>
              <w:spacing w:after="20" w:before="20" w:line="252" w:lineRule="auto"/>
            </w:pPr>
            <w:r/>
            <w:r>
              <w:rPr>
                <w:rFonts w:ascii="Aptos" w:hAnsi="Aptos"/>
                <w:b w:val="0"/>
                <w:color w:val="27352D"/>
                <w:sz w:val="16"/>
              </w:rPr>
              <w:t>Frontend production build</w:t>
            </w:r>
          </w:p>
        </w:tc>
        <w:tc>
          <w:tcPr>
            <w:tcW w:type="dxa" w:w="7560"/>
            <w:vAlign w:val="center"/>
            <w:shd w:fill="FAF7EF"/>
          </w:tcPr>
          <w:p>
            <w:pPr>
              <w:spacing w:after="20" w:before="20" w:line="252" w:lineRule="auto"/>
            </w:pPr>
            <w:r/>
            <w:r>
              <w:rPr>
                <w:rFonts w:ascii="Aptos" w:hAnsi="Aptos"/>
                <w:b w:val="0"/>
                <w:color w:val="27352D"/>
                <w:sz w:val="16"/>
              </w:rPr>
              <w:t>Pass. TypeScript compilation and Vite production bundling succeeded.</w:t>
            </w:r>
          </w:p>
        </w:tc>
      </w:tr>
      <w:tr>
        <w:trPr>
          <w:cantSplit/>
        </w:trPr>
        <w:tc>
          <w:tcPr>
            <w:tcW w:type="dxa" w:w="2520"/>
            <w:vAlign w:val="center"/>
            <w:shd w:fill="F5F0E5"/>
          </w:tcPr>
          <w:p>
            <w:pPr>
              <w:spacing w:after="20" w:before="20" w:line="252" w:lineRule="auto"/>
            </w:pPr>
            <w:r/>
            <w:r>
              <w:rPr>
                <w:rFonts w:ascii="Aptos" w:hAnsi="Aptos"/>
                <w:b w:val="0"/>
                <w:color w:val="27352D"/>
                <w:sz w:val="16"/>
              </w:rPr>
              <w:t>Backend syntax</w:t>
            </w:r>
          </w:p>
        </w:tc>
        <w:tc>
          <w:tcPr>
            <w:tcW w:type="dxa" w:w="7560"/>
            <w:vAlign w:val="center"/>
            <w:shd w:fill="F5F0E5"/>
          </w:tcPr>
          <w:p>
            <w:pPr>
              <w:spacing w:after="20" w:before="20" w:line="252" w:lineRule="auto"/>
            </w:pPr>
            <w:r/>
            <w:r>
              <w:rPr>
                <w:rFonts w:ascii="Aptos" w:hAnsi="Aptos"/>
                <w:b w:val="0"/>
                <w:color w:val="27352D"/>
                <w:sz w:val="16"/>
              </w:rPr>
              <w:t>Pass. app.py and test_app.py compile with Python.</w:t>
            </w:r>
          </w:p>
        </w:tc>
      </w:tr>
      <w:tr>
        <w:trPr>
          <w:cantSplit/>
        </w:trPr>
        <w:tc>
          <w:tcPr>
            <w:tcW w:type="dxa" w:w="2520"/>
            <w:vAlign w:val="center"/>
            <w:shd w:fill="FAF7EF"/>
          </w:tcPr>
          <w:p>
            <w:pPr>
              <w:spacing w:after="20" w:before="20" w:line="252" w:lineRule="auto"/>
            </w:pPr>
            <w:r/>
            <w:r>
              <w:rPr>
                <w:rFonts w:ascii="Aptos" w:hAnsi="Aptos"/>
                <w:b w:val="0"/>
                <w:color w:val="27352D"/>
                <w:sz w:val="16"/>
              </w:rPr>
              <w:t>Language guide browser check</w:t>
            </w:r>
          </w:p>
        </w:tc>
        <w:tc>
          <w:tcPr>
            <w:tcW w:type="dxa" w:w="7560"/>
            <w:vAlign w:val="center"/>
            <w:shd w:fill="FAF7EF"/>
          </w:tcPr>
          <w:p>
            <w:pPr>
              <w:spacing w:after="20" w:before="20" w:line="252" w:lineRule="auto"/>
            </w:pPr>
            <w:r/>
            <w:r>
              <w:rPr>
                <w:rFonts w:ascii="Aptos" w:hAnsi="Aptos"/>
                <w:b w:val="0"/>
                <w:color w:val="27352D"/>
                <w:sz w:val="16"/>
              </w:rPr>
              <w:t>Pass for navigation, 13 language choices, language selection, and a sample offline probation explanation.</w:t>
            </w:r>
          </w:p>
        </w:tc>
      </w:tr>
      <w:tr>
        <w:trPr>
          <w:cantSplit/>
        </w:trPr>
        <w:tc>
          <w:tcPr>
            <w:tcW w:type="dxa" w:w="2520"/>
            <w:vAlign w:val="center"/>
            <w:shd w:fill="F5F0E5"/>
          </w:tcPr>
          <w:p>
            <w:pPr>
              <w:spacing w:after="20" w:before="20" w:line="252" w:lineRule="auto"/>
            </w:pPr>
            <w:r/>
            <w:r>
              <w:rPr>
                <w:rFonts w:ascii="Aptos" w:hAnsi="Aptos"/>
                <w:b w:val="0"/>
                <w:color w:val="27352D"/>
                <w:sz w:val="16"/>
              </w:rPr>
              <w:t>Backend unit tests</w:t>
            </w:r>
          </w:p>
        </w:tc>
        <w:tc>
          <w:tcPr>
            <w:tcW w:type="dxa" w:w="7560"/>
            <w:vAlign w:val="center"/>
            <w:shd w:fill="F5F0E5"/>
          </w:tcPr>
          <w:p>
            <w:pPr>
              <w:spacing w:after="20" w:before="20" w:line="252" w:lineRule="auto"/>
            </w:pPr>
            <w:r/>
            <w:r>
              <w:rPr>
                <w:rFonts w:ascii="Aptos" w:hAnsi="Aptos"/>
                <w:b w:val="0"/>
                <w:color w:val="27352D"/>
                <w:sz w:val="16"/>
              </w:rPr>
              <w:t>Not run successfully: Flask is not installed in the current Python environment.</w:t>
            </w:r>
          </w:p>
        </w:tc>
      </w:tr>
      <w:tr>
        <w:trPr>
          <w:cantSplit/>
        </w:trPr>
        <w:tc>
          <w:tcPr>
            <w:tcW w:type="dxa" w:w="2520"/>
            <w:vAlign w:val="center"/>
            <w:shd w:fill="FAF7EF"/>
          </w:tcPr>
          <w:p>
            <w:pPr>
              <w:spacing w:after="20" w:before="20" w:line="252" w:lineRule="auto"/>
            </w:pPr>
            <w:r/>
            <w:r>
              <w:rPr>
                <w:rFonts w:ascii="Aptos" w:hAnsi="Aptos"/>
                <w:b w:val="0"/>
                <w:color w:val="27352D"/>
                <w:sz w:val="16"/>
              </w:rPr>
              <w:t>Live frontend-to-API integration</w:t>
            </w:r>
          </w:p>
        </w:tc>
        <w:tc>
          <w:tcPr>
            <w:tcW w:type="dxa" w:w="7560"/>
            <w:vAlign w:val="center"/>
            <w:shd w:fill="FAF7EF"/>
          </w:tcPr>
          <w:p>
            <w:pPr>
              <w:spacing w:after="20" w:before="20" w:line="252" w:lineRule="auto"/>
            </w:pPr>
            <w:r/>
            <w:r>
              <w:rPr>
                <w:rFonts w:ascii="Aptos" w:hAnsi="Aptos"/>
                <w:b w:val="0"/>
                <w:color w:val="27352D"/>
                <w:sz w:val="16"/>
              </w:rPr>
              <w:t>Not verified. localhost:5000 did not respond during the latest health check, so the browser used offline demo mode.</w:t>
            </w:r>
          </w:p>
        </w:tc>
      </w:tr>
      <w:tr>
        <w:trPr>
          <w:cantSplit/>
        </w:trPr>
        <w:tc>
          <w:tcPr>
            <w:tcW w:type="dxa" w:w="2520"/>
            <w:vAlign w:val="center"/>
            <w:shd w:fill="F5F0E5"/>
          </w:tcPr>
          <w:p>
            <w:pPr>
              <w:spacing w:after="20" w:before="20" w:line="252" w:lineRule="auto"/>
            </w:pPr>
            <w:r/>
            <w:r>
              <w:rPr>
                <w:rFonts w:ascii="Aptos" w:hAnsi="Aptos"/>
                <w:b w:val="0"/>
                <w:color w:val="27352D"/>
                <w:sz w:val="16"/>
              </w:rPr>
              <w:t>Git state</w:t>
            </w:r>
          </w:p>
        </w:tc>
        <w:tc>
          <w:tcPr>
            <w:tcW w:type="dxa" w:w="7560"/>
            <w:vAlign w:val="center"/>
            <w:shd w:fill="F5F0E5"/>
          </w:tcPr>
          <w:p>
            <w:pPr>
              <w:spacing w:after="20" w:before="20" w:line="252" w:lineRule="auto"/>
            </w:pPr>
            <w:r/>
            <w:r>
              <w:rPr>
                <w:rFonts w:ascii="Aptos" w:hAnsi="Aptos"/>
                <w:b w:val="0"/>
                <w:color w:val="27352D"/>
                <w:sz w:val="16"/>
              </w:rPr>
              <w:t>Local commits exist, including the current UI polish. No remote is configured, so nothing has been pushed.</w:t>
            </w:r>
          </w:p>
        </w:tc>
      </w:tr>
    </w:tbl>
    <w:p>
      <w:pPr>
        <w:spacing w:after="20"/>
      </w:pPr>
    </w:p>
    <w:p>
      <w:pPr>
        <w:pStyle w:val="Heading2"/>
      </w:pPr>
      <w:r>
        <w:t>Not implemented yet</w:t>
      </w:r>
    </w:p>
    <w:p>
      <w:pPr>
        <w:pStyle w:val="ListBullet"/>
        <w:spacing w:after="60"/>
        <w:ind w:left="317" w:hanging="187"/>
      </w:pPr>
      <w:r>
        <w:t>Live NCS integration, employer identity/domain verification, and independent confirmation that a vacancy is active.</w:t>
      </w:r>
    </w:p>
    <w:p>
      <w:pPr>
        <w:pStyle w:val="ListBullet"/>
        <w:spacing w:after="60"/>
        <w:ind w:left="317" w:hanging="187"/>
      </w:pPr>
      <w:r>
        <w:t>A staffed review queue, adjudication console, appeals process, or moderator handling of private trust reports.</w:t>
      </w:r>
    </w:p>
    <w:p>
      <w:pPr>
        <w:pStyle w:val="ListBullet"/>
        <w:spacing w:after="60"/>
        <w:ind w:left="317" w:hanging="187"/>
      </w:pPr>
      <w:r>
        <w:t>External ATS and job-board integrations, full duplicate-source lineage, and automated employer feedback diagnostics.</w:t>
      </w:r>
    </w:p>
    <w:p>
      <w:pPr>
        <w:pStyle w:val="ListBullet"/>
        <w:spacing w:after="60"/>
        <w:ind w:left="317" w:hanging="187"/>
      </w:pPr>
      <w:r>
        <w:t>Full translation of arbitrary job or contract text, a general legal explainer, and legal advice.</w:t>
      </w:r>
    </w:p>
    <w:p>
      <w:pPr>
        <w:pStyle w:val="ListBullet"/>
        <w:spacing w:after="60"/>
        <w:ind w:left="317" w:hanging="187"/>
      </w:pPr>
      <w:r>
        <w:t>Production authentication, hosted deployment, backup/recovery, security review, and load testing.</w:t>
      </w:r>
    </w:p>
    <w:p>
      <w:pPr>
        <w:pStyle w:val="Heading2"/>
      </w:pPr>
      <w:r>
        <w:t>Suggested next steps</w:t>
      </w:r>
    </w:p>
    <w:p>
      <w:pPr>
        <w:pStyle w:val="ListBullet"/>
        <w:spacing w:after="60"/>
        <w:ind w:left="317" w:hanging="187"/>
      </w:pPr>
      <w:r>
        <w:t>Install the declared backend dependencies in a project virtual environment, start Flask, and run the backend unit suite.</w:t>
      </w:r>
    </w:p>
    <w:p>
      <w:pPr>
        <w:pStyle w:val="ListBullet"/>
        <w:spacing w:after="60"/>
        <w:ind w:left="317" w:hanging="187"/>
      </w:pPr>
      <w:r>
        <w:t>Run an end-to-end pass for profile sync, employer submission, application tracking, stale-vacancy blocking, and offline-to-online recovery.</w:t>
      </w:r>
    </w:p>
    <w:p>
      <w:pPr>
        <w:pStyle w:val="ListBullet"/>
        <w:spacing w:after="60"/>
        <w:ind w:left="317" w:hanging="187"/>
      </w:pPr>
      <w:r>
        <w:t>Connect authorized employer verification and human review services before describing any role as verified or approved.</w:t>
      </w:r>
    </w:p>
    <w:p>
      <w:pPr>
        <w:pStyle w:val="ListBullet"/>
        <w:spacing w:after="60"/>
        <w:ind w:left="317" w:hanging="187"/>
      </w:pPr>
      <w:r>
        <w:t>Validate the language guide with native speakers and add reviewed translations before using it for consequential decisions.</w:t>
      </w:r>
    </w:p>
    <w:p>
      <w:r>
        <w:t>This document describes the local prototype state as of 24 October 2026. It separates implemented demo behavior from services and verification that do not yet exist.</w:t>
      </w:r>
    </w:p>
    <w:sectPr w:rsidR="00FC693F" w:rsidRPr="0006063C" w:rsidSect="00034616">
      <w:headerReference w:type="default" r:id="rId9"/>
      <w:footerReference w:type="default" r:id="rId10"/>
      <w:pgSz w:w="12240" w:h="15840"/>
      <w:pgMar w:top="979"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57267"/>
        <w:sz w:val="14"/>
      </w:rPr>
      <w:t xml:space="preserve">CareerTrust local prototype     ·     24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96B4B"/>
        <w:sz w:val="14"/>
      </w:rPr>
      <w:t>CAREERTRUST  /  PROTOTYPE OVERVIEW     •     IMPACTX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7352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44B37"/>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96B4B"/>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44B3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40"/>
      <w:contextualSpacing/>
    </w:pPr>
    <w:rPr>
      <w:rFonts w:asciiTheme="majorHAnsi" w:eastAsiaTheme="majorEastAsia" w:hAnsiTheme="majorHAnsi" w:cstheme="majorBidi" w:ascii="Aptos Display" w:hAnsi="Aptos Display"/>
      <w:b w:val="0"/>
      <w:color w:val="244B3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CareerTrust Prototype Overview</dc:title>
  <dc:subject>Implemented features, workflows, architecture, limits, and verification status</dc:subject>
  <dc:creator>CareerTrust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