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976318359375" w:right="0" w:firstLine="0"/>
        <w:jc w:val="left"/>
        <w:rPr>
          <w:rFonts w:ascii="Noto Sans" w:cs="Noto Sans" w:eastAsia="Noto Sans" w:hAnsi="Noto Sans"/>
          <w:b w:val="1"/>
          <w:i w:val="0"/>
          <w:smallCaps w:val="0"/>
          <w:strike w:val="0"/>
          <w:color w:val="000000"/>
          <w:sz w:val="21.058591842651367"/>
          <w:szCs w:val="21.058591842651367"/>
          <w:u w:val="none"/>
          <w:shd w:fill="auto" w:val="clear"/>
          <w:vertAlign w:val="baseline"/>
        </w:rPr>
      </w:pPr>
      <w:r w:rsidDel="00000000" w:rsidR="00000000" w:rsidRPr="00000000">
        <w:rPr>
          <w:rFonts w:ascii="Noto Sans" w:cs="Noto Sans" w:eastAsia="Noto Sans" w:hAnsi="Noto Sans"/>
          <w:b w:val="1"/>
          <w:i w:val="0"/>
          <w:smallCaps w:val="0"/>
          <w:strike w:val="0"/>
          <w:color w:val="000000"/>
          <w:sz w:val="21.058591842651367"/>
          <w:szCs w:val="21.058591842651367"/>
          <w:u w:val="none"/>
          <w:shd w:fill="auto" w:val="clear"/>
          <w:vertAlign w:val="baseline"/>
          <w:rtl w:val="0"/>
        </w:rPr>
        <w:t xml:space="preserve">g. DISPOSITIF DIGITAL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51611328125" w:line="269.891996383667" w:lineRule="auto"/>
        <w:ind w:left="17.400054931640625" w:right="-5.511474609375" w:firstLine="7.5599670410156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La mise en place d’un dispositif digital cohérent et performant est au cœur de la stratégie de lancement et de développement de CultureRadar. L’objectif est de structurer les actions par phases, tout en maîtrisant le budget global alloué (50 000 €), pour garantir un déploiement progressif, mesurable et optimisé de la présence en ligne.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689453125" w:line="240" w:lineRule="auto"/>
        <w:ind w:left="23.69995117187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Plan d’actions mensuel (budget total : 50 000 €) </w:t>
      </w:r>
    </w:p>
    <w:tbl>
      <w:tblPr>
        <w:tblStyle w:val="Table1"/>
        <w:tblW w:w="8770.5126953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70.5126953125"/>
        <w:tblGridChange w:id="0">
          <w:tblGrid>
            <w:gridCol w:w="8770.5126953125"/>
          </w:tblGrid>
        </w:tblGridChange>
      </w:tblGrid>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960021972656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Mois Actions prioritaires Outils utilisés Budget KPI cible</w:t>
            </w:r>
          </w:p>
        </w:tc>
      </w:tr>
      <w:tr>
        <w:trPr>
          <w:cantSplit w:val="0"/>
          <w:trHeight w:val="9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4.03137207031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Création landing page,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960021972656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M1 -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47.2351074218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Webflow,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2.9513549804688"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campagne pre-launch,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0.241699218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30"/>
                <w:szCs w:val="30"/>
                <w:u w:val="none"/>
                <w:shd w:fill="auto" w:val="clear"/>
                <w:vertAlign w:val="subscript"/>
                <w:rtl w:val="0"/>
              </w:rPr>
              <w:t xml:space="preserve">Mailchimp, Later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8 500 € 1 000 pré-inscrits</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960021972656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M3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0.2514648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Instagram </w:t>
            </w:r>
          </w:p>
        </w:tc>
      </w:tr>
      <w:tr>
        <w:trPr>
          <w:cantSplit w:val="0"/>
          <w:trHeight w:val="7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960021972656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M4 -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0.5114746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Lancement MVP, campagnes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50.114746093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GA4, Google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07.46154785156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14 500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2.40173339843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30"/>
                <w:szCs w:val="30"/>
                <w:u w:val="none"/>
                <w:shd w:fill="auto" w:val="clear"/>
                <w:vertAlign w:val="subscript"/>
                <w:rtl w:val="0"/>
              </w:rPr>
              <w:t xml:space="preserve">€</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5 000 utilisateurs</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960021972656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M6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4.03137207031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Google Ads, Relations presse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68.15490722656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Ads, HubSpot </w:t>
            </w:r>
          </w:p>
        </w:tc>
      </w:tr>
      <w:tr>
        <w:trPr>
          <w:cantSplit w:val="0"/>
          <w:trHeight w:val="9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3.0514526367188"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Activation TikTok,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960021972656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M7 -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77.1350097656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TikTok Ads,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07.46154785156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11 500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1.3314819335938"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automatisation emailing,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9.4421386718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30"/>
                <w:szCs w:val="30"/>
                <w:u w:val="none"/>
                <w:shd w:fill="auto" w:val="clear"/>
                <w:vertAlign w:val="subscript"/>
                <w:rtl w:val="0"/>
              </w:rPr>
              <w:t xml:space="preserve">€</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15 000 utilisateurs</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960021972656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M9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83.67492675781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Mailchimp Pro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8.35144042968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partenariats </w:t>
            </w:r>
          </w:p>
        </w:tc>
      </w:tr>
      <w:tr>
        <w:trPr>
          <w:cantSplit w:val="0"/>
          <w:trHeight w:val="704.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960021972656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M10 -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0.5114746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Passage à l’échelle,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Analytics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07.46154785156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15 500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2.60192871093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50 000 utilisateurs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5751953125" w:line="240" w:lineRule="auto"/>
              <w:ind w:left="189.960021972656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M12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2.9513549804688"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optimisation CRM, rentabilité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18.29528808593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avancés, CRM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66.10168457031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6.88171386718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actifs mensuels (MAU)</w:t>
            </w:r>
          </w:p>
        </w:tc>
      </w:tr>
    </w:tbl>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4006347656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Outils essentiels par fonction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408203125" w:line="264.60001945495605" w:lineRule="auto"/>
        <w:ind w:left="10.37994384765625" w:right="-1.405029296875" w:firstLine="7.7400207519531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1. Analytics &amp; mesure de performance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(150 €/mois) - Google Analytics 4 : outil gratuit utilisé pour le tracking principal des utilisateurs et leur comportement. - Google Tag Manager : outil gratuit pour la gestion des balises marketing et conversion. - Mixpanel (89 €/mois) : suivi des événements complexes et des comportements produit. - Hotjar (32 €/mois) : analyse UX avec cartes de chaleur et enregistrements. - Mailchimp Analytics (29 €/mois) : suivi des performances emailing et taux de conversion.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02197265625" w:line="299.88000869750977" w:lineRule="auto"/>
        <w:ind w:left="14.340057373046875" w:right="3.27880859375" w:hanging="2.3399353027343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2. Gestion des réseaux sociaux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(85 €/mois) - Later (25 €/mois) : programmation et planification des publications sur Instagram et TikTok. - Canva Pro (11 €/mois) : création de visuels attractifs pour tous les supports. - Mention (29 €/mois) : veille e-réputation et mentions de la marque. - Hootsuite (49 €/mois) : gestion multi-comptes et plateformes sociales.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299072265625" w:line="299.88000869750977" w:lineRule="auto"/>
        <w:ind w:left="11.6400146484375" w:right="-1.644287109375" w:firstLine="2.7000427246093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3. Acquisition payante (budget variable selon phase)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Google Ads : budget moyen estimé à 2 000 €/ mois pour l’acquisition ciblée. - Facebook/Instagram Ads : campagne de retargeting et notoriété (1 500 €/mois). - SEMrush (299 €/mois) : audit SEO, recherche de mots-clés et suivi de positionnement. - Retargeting : 500 €/mois pour reciblage comportemental personnalisé.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299072265625" w:line="299.88000869750977" w:lineRule="auto"/>
        <w:ind w:left="10.55999755859375" w:right="-1.15478515625" w:hanging="1.080017089843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4. CRM &amp; Email Marketing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(environ 100 €/mois) - Mailchimp : tarification selon le volume de contacts (voir plus bas). - 0–2 000 contacts : 10 €/mois - 2 000–10 000 contacts : 59 €/mois - 10 000+ contacts : 299 €/mois - HubSpot CRM : 45 €/mois pour la gestion des prospects et partenaires B2B.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2.5250244140625"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1</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600402832031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Infrastructure technique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39599609375" w:line="299.88000869750977" w:lineRule="auto"/>
        <w:ind w:left="16.67999267578125" w:right="11.063232421875" w:firstLine="7.019958496093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Hébergement et performance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(95 €/mois) - Vercel (49 €/mois) : hébergement frontend basé sur React et Next.js. - Railway (25 €/mois) : déploiement backend (Node.js + PostgreSQL). - Cloudflare (20 €/mois) : sécurisation du site via CDN, SSL, gestion DDoS. - Système de sauvegarde automatique inclus.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30517578125" w:line="240" w:lineRule="auto"/>
        <w:ind w:left="7.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APIs externes intégrées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408203125" w:line="240" w:lineRule="auto"/>
        <w:ind w:left="506.8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506.8824768066406" w:right="1112.825927734375" w:firstLine="111.59759521484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Google Maps API : intégration de la géolocalisation pour suggestions d’événements. •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8.4800720214844"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OpenWeatherMap API : prise en compte de la météo dans les recommandations.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506.8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506.8824768066406" w:right="2803.385009765625" w:firstLine="118.07754516601562"/>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RATP API : synchronisation avec les horaires de transport public. •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65.7743263244629" w:lineRule="auto"/>
        <w:ind w:left="15.780029296875" w:right="2697.00439453125" w:firstLine="600.8999633789062"/>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Stripe API : gestion des paiements en ligne de manière sécurisée.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Stack technologique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08544921875" w:line="240" w:lineRule="auto"/>
        <w:ind w:left="506.8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506.8824768066406" w:right="209.964599609375" w:firstLine="116.81747436523438"/>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Frontend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React.js + Next.js + TypeScript, garantissant une interface moderne et performante. •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506.8824768066406" w:right="1669.9224853515625" w:firstLine="116.81747436523438"/>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Backend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Node.js + Express + PostgreSQL, assurant robustesse et scalabilité. •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Mobile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développement en PWA (Progressive Web App) pour une expérience optimale sur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616.679992675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smartphone.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506.882476806640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5.7800292968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Sécurité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conformité RGPD, protocole SSL/TLS, chiffrement des données personnelles.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40185546875" w:line="263.5308837890625" w:lineRule="auto"/>
        <w:ind w:left="18.480072021484375" w:right="-0.714111328125" w:firstLine="0"/>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Ce dispositif digital modulaire et progressif assure une montée en puissance progressive de CultureRadar, tant au niveau technique que marketing. Il permet également une flexibilité dans l’adaptation aux performances constatées, tout en garantissant une expérience fluide, sécurisée et personnalisée pour chaque utilisateur.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6.8853759765625"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2</w:t>
      </w:r>
    </w:p>
    <w:sectPr>
      <w:pgSz w:h="16820" w:w="11900" w:orient="portrait"/>
      <w:pgMar w:bottom="650.15625" w:top="1464.84375" w:left="1552.5" w:right="1522.87597656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