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Business mode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 format de la société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Détail du produit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•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État du marché et merketing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Veille concurrentielle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Audit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Segmentation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Business plan of Executif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Visonel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Culture I documentation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Les applications de la cultures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Fichier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Site web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◦</w:t>
        <w:tab/>
        <w:t xml:space="preserve">Communication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