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Plastic is widely used due to its durability, low cost, and versatility. However, improper disposal leads to environmental pollution and health risks.</w:t>
      </w:r>
    </w:p>
    <w:p/>
    <w:p>
      <w:r>
        <w:t>Key Issues:</w:t>
      </w:r>
    </w:p>
    <w:p>
      <w:r>
        <w:t>- Non-biodegradable nature</w:t>
      </w:r>
    </w:p>
    <w:p>
      <w:r>
        <w:t>- Land and water pollution</w:t>
      </w:r>
    </w:p>
    <w:p>
      <w:r>
        <w:t>- Microplastic contamination</w:t>
      </w:r>
    </w:p>
    <w:p/>
    <w:p>
      <w:r>
        <w:t>Solution:</w:t>
      </w:r>
    </w:p>
    <w:p>
      <w:r>
        <w:t>- Recycling and reuse</w:t>
      </w:r>
    </w:p>
    <w:p>
      <w:r>
        <w:t>- Sustainable product development</w:t>
      </w:r>
    </w:p>
    <w:p/>
    <w:p>
      <w:r>
        <w:t>Plastic waste management follows the 4R principle: Reduce, Reuse, Recycle, Recover.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