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D45C6">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76" w:lineRule="auto"/>
        <w:rPr>
          <w:b/>
          <w:color w:val="000000"/>
        </w:rPr>
      </w:pPr>
    </w:p>
    <w:p w14:paraId="5F5A9A5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76" w:lineRule="auto"/>
        <w:jc w:val="center"/>
        <w:rPr>
          <w:b/>
          <w:color w:val="000000"/>
        </w:rPr>
      </w:pPr>
    </w:p>
    <w:p w14:paraId="31E0CF0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76" w:lineRule="auto"/>
        <w:jc w:val="center"/>
        <w:rPr>
          <w:b/>
          <w:color w:val="000000"/>
        </w:rPr>
      </w:pPr>
      <w:r>
        <w:rPr>
          <w:b/>
          <w:color w:val="000000"/>
        </w:rPr>
        <w:t>NON-DISCLOSURE AGREEMENT</w:t>
      </w:r>
    </w:p>
    <w:p w14:paraId="1873394E">
      <w:pPr>
        <w:spacing w:line="276" w:lineRule="auto"/>
        <w:jc w:val="both"/>
      </w:pPr>
    </w:p>
    <w:p w14:paraId="176A1F2F">
      <w:pPr>
        <w:spacing w:line="276" w:lineRule="auto"/>
        <w:ind w:left="540"/>
        <w:jc w:val="both"/>
        <w:rPr>
          <w:rFonts w:hint="default"/>
          <w:lang w:val="en-IN"/>
        </w:rPr>
      </w:pPr>
      <w:r>
        <w:t>This Mutual Non-Disclosure Agreement (“</w:t>
      </w:r>
      <w:r>
        <w:rPr>
          <w:b/>
        </w:rPr>
        <w:t>Agreement</w:t>
      </w:r>
      <w:r>
        <w:t xml:space="preserve">”) is dated </w:t>
      </w:r>
      <w:r>
        <w:rPr>
          <w:rFonts w:hint="default"/>
          <w:lang w:val="en-IN"/>
        </w:rPr>
        <w:t>&lt;Dated&gt;</w:t>
      </w:r>
      <w:r>
        <w:t>, 2025 , by and between and shall be effective from the date of this document execution “effective date”.</w:t>
      </w:r>
      <w:bookmarkStart w:id="1" w:name="_GoBack"/>
      <w:bookmarkEnd w:id="1"/>
    </w:p>
    <w:p w14:paraId="5D3B0A3D">
      <w:pPr>
        <w:spacing w:line="276" w:lineRule="auto"/>
        <w:jc w:val="both"/>
      </w:pPr>
    </w:p>
    <w:p w14:paraId="3D04C0E5">
      <w:pPr>
        <w:spacing w:line="360" w:lineRule="auto"/>
        <w:ind w:left="540" w:right="-13"/>
        <w:jc w:val="both"/>
        <w:rPr>
          <w:color w:val="00000A"/>
        </w:rPr>
      </w:pPr>
      <w:r>
        <w:rPr>
          <w:b/>
        </w:rPr>
        <w:t>INKOOLU DESIGN PRIVATE LIMITED (INDQ)</w:t>
      </w:r>
      <w:r>
        <w:t xml:space="preserve">, having its registered office at AMTZ Campus, Pragati Maidan, VM Steel Project S.O, Visakhapatnam – 530031, Andhra Pradesh, India. </w:t>
      </w:r>
      <w:r>
        <w:rPr>
          <w:color w:val="00000A"/>
        </w:rPr>
        <w:t>Third party, hereinafter referred to as (</w:t>
      </w:r>
      <w:r>
        <w:rPr>
          <w:b/>
          <w:color w:val="00000A"/>
        </w:rPr>
        <w:t>INDQ</w:t>
      </w:r>
      <w:r>
        <w:rPr>
          <w:color w:val="00000A"/>
        </w:rPr>
        <w:t>),</w:t>
      </w:r>
      <w:r>
        <w:t xml:space="preserve"> hereinafter referred to as “Disclosing Party” or “INDQ” which expression wherever it occurs, shall mean and include the representatives, administrators, successors in interest and assign; </w:t>
      </w:r>
    </w:p>
    <w:p w14:paraId="7A68D8E5">
      <w:pPr>
        <w:spacing w:line="276" w:lineRule="auto"/>
        <w:jc w:val="center"/>
        <w:rPr>
          <w:b/>
        </w:rPr>
      </w:pPr>
      <w:r>
        <w:t>and</w:t>
      </w:r>
    </w:p>
    <w:p w14:paraId="2355C2E1">
      <w:pPr>
        <w:spacing w:line="276" w:lineRule="auto"/>
        <w:jc w:val="both"/>
        <w:rPr>
          <w:b/>
        </w:rPr>
      </w:pPr>
    </w:p>
    <w:p w14:paraId="2C21E49E">
      <w:pPr>
        <w:spacing w:line="276" w:lineRule="auto"/>
        <w:ind w:left="630"/>
        <w:jc w:val="both"/>
        <w:rPr>
          <w:u w:val="single"/>
        </w:rPr>
      </w:pPr>
      <w:r>
        <w:rPr>
          <w:b/>
        </w:rPr>
        <w:t>&lt;Authorised Signatory&gt;, C/o &lt;Address as per incorporation certificate&gt;</w:t>
      </w:r>
      <w:r>
        <w:t>, hereinafter referred to as “Receiving Party” or “&lt;Company name in short&gt;” which expression wherever it occurs, shall mean and include the representatives, administrators, successors in interest and assign.</w:t>
      </w:r>
    </w:p>
    <w:p w14:paraId="2B4C41B0">
      <w:pPr>
        <w:spacing w:line="276" w:lineRule="auto"/>
        <w:jc w:val="both"/>
      </w:pPr>
    </w:p>
    <w:p w14:paraId="2780D0EF">
      <w:pPr>
        <w:spacing w:line="276" w:lineRule="auto"/>
        <w:ind w:left="630"/>
        <w:jc w:val="both"/>
      </w:pPr>
      <w:r>
        <w:t>INDQ and &lt;Company name in short&gt; shall be referred to, individually, as “</w:t>
      </w:r>
      <w:r>
        <w:rPr>
          <w:b/>
        </w:rPr>
        <w:t>Party</w:t>
      </w:r>
      <w:r>
        <w:t>” and collectively, as “</w:t>
      </w:r>
      <w:r>
        <w:rPr>
          <w:b/>
        </w:rPr>
        <w:t>Parties</w:t>
      </w:r>
      <w:r>
        <w:t xml:space="preserve">”. </w:t>
      </w:r>
    </w:p>
    <w:p w14:paraId="13DC2C0E">
      <w:pPr>
        <w:spacing w:line="276" w:lineRule="auto"/>
        <w:jc w:val="both"/>
      </w:pPr>
    </w:p>
    <w:p w14:paraId="0092D6A7">
      <w:pPr>
        <w:spacing w:line="276" w:lineRule="auto"/>
        <w:ind w:left="630"/>
        <w:jc w:val="both"/>
        <w:rPr>
          <w:b/>
        </w:rPr>
      </w:pPr>
    </w:p>
    <w:p w14:paraId="1C4175AC">
      <w:pPr>
        <w:spacing w:line="276" w:lineRule="auto"/>
        <w:ind w:left="630"/>
        <w:jc w:val="both"/>
        <w:rPr>
          <w:b/>
        </w:rPr>
      </w:pPr>
      <w:r>
        <w:rPr>
          <w:b/>
        </w:rPr>
        <w:t>RECITALS</w:t>
      </w:r>
    </w:p>
    <w:p w14:paraId="164C1963">
      <w:pPr>
        <w:spacing w:line="276" w:lineRule="auto"/>
        <w:ind w:left="630"/>
        <w:jc w:val="both"/>
        <w:rPr>
          <w:b/>
        </w:rPr>
      </w:pPr>
    </w:p>
    <w:p w14:paraId="0C6EF346">
      <w:pPr>
        <w:spacing w:line="276" w:lineRule="auto"/>
        <w:ind w:left="630"/>
        <w:jc w:val="both"/>
        <w:rPr>
          <w:lang w:val="en-IN"/>
        </w:rPr>
      </w:pPr>
      <w:r>
        <w:rPr>
          <w:b/>
          <w:bCs/>
          <w:lang w:val="en-IN"/>
        </w:rPr>
        <w:t>RECITALS</w:t>
      </w:r>
    </w:p>
    <w:p w14:paraId="177781B9">
      <w:pPr>
        <w:pStyle w:val="15"/>
        <w:numPr>
          <w:ilvl w:val="0"/>
          <w:numId w:val="1"/>
        </w:numPr>
        <w:spacing w:line="276" w:lineRule="auto"/>
        <w:jc w:val="both"/>
        <w:rPr>
          <w:lang w:val="en-IN"/>
        </w:rPr>
      </w:pPr>
      <w:r>
        <w:rPr>
          <w:lang w:val="en-IN"/>
        </w:rPr>
        <w:t>WHEREAS, INKOOLU DESIGN PRIVATE LIMITED (INDQ) is engaged in the business of providing specialized product design studio services including research and development, industrial design, mechanical engineering, prototyping, testing, and other related services particularly focused on healthcare and medical technology sectors;</w:t>
      </w:r>
    </w:p>
    <w:p w14:paraId="489CAE02">
      <w:pPr>
        <w:pStyle w:val="15"/>
        <w:spacing w:line="276" w:lineRule="auto"/>
        <w:ind w:left="990"/>
        <w:jc w:val="both"/>
        <w:rPr>
          <w:lang w:val="en-IN"/>
        </w:rPr>
      </w:pPr>
    </w:p>
    <w:p w14:paraId="5EB86003">
      <w:pPr>
        <w:pStyle w:val="15"/>
        <w:numPr>
          <w:ilvl w:val="0"/>
          <w:numId w:val="1"/>
        </w:numPr>
        <w:spacing w:line="276" w:lineRule="auto"/>
        <w:jc w:val="both"/>
        <w:rPr>
          <w:lang w:val="en-IN"/>
        </w:rPr>
      </w:pPr>
      <w:r>
        <w:rPr>
          <w:lang w:val="en-IN"/>
        </w:rPr>
        <w:t>WHEREAS, the Client is interested in engaging INDQ's services for the development, design, enhancement, or evaluation of products, systems, or technologies;</w:t>
      </w:r>
    </w:p>
    <w:p w14:paraId="0D0BDE81">
      <w:pPr>
        <w:spacing w:line="276" w:lineRule="auto"/>
        <w:jc w:val="both"/>
        <w:rPr>
          <w:lang w:val="en-IN"/>
        </w:rPr>
      </w:pPr>
    </w:p>
    <w:p w14:paraId="624829B5">
      <w:pPr>
        <w:pStyle w:val="15"/>
        <w:numPr>
          <w:ilvl w:val="0"/>
          <w:numId w:val="1"/>
        </w:numPr>
        <w:spacing w:line="276" w:lineRule="auto"/>
        <w:jc w:val="both"/>
        <w:rPr>
          <w:lang w:val="en-IN"/>
        </w:rPr>
      </w:pPr>
      <w:r>
        <w:rPr>
          <w:lang w:val="en-IN"/>
        </w:rPr>
        <w:t>WHEREAS, in the course of their business relationship, the parties may share or disclose to each other certain proprietary, confidential or sensitive information relating to their respective businesses, technologies, products, services, processes, methodologies, designs, plans, strategies, or other intellectual property;</w:t>
      </w:r>
    </w:p>
    <w:p w14:paraId="7D79A6D2">
      <w:pPr>
        <w:pStyle w:val="15"/>
        <w:rPr>
          <w:lang w:val="en-IN"/>
        </w:rPr>
      </w:pPr>
    </w:p>
    <w:p w14:paraId="3FA4F482">
      <w:pPr>
        <w:spacing w:line="276" w:lineRule="auto"/>
        <w:jc w:val="both"/>
        <w:rPr>
          <w:lang w:val="en-IN"/>
        </w:rPr>
      </w:pPr>
    </w:p>
    <w:p w14:paraId="0574DDB3">
      <w:pPr>
        <w:pStyle w:val="15"/>
        <w:numPr>
          <w:ilvl w:val="0"/>
          <w:numId w:val="1"/>
        </w:numPr>
        <w:spacing w:line="276" w:lineRule="auto"/>
        <w:jc w:val="both"/>
        <w:rPr>
          <w:lang w:val="en-IN"/>
        </w:rPr>
      </w:pPr>
      <w:r>
        <w:rPr>
          <w:lang w:val="en-IN"/>
        </w:rPr>
        <w:t>WHEREAS, both parties recognize the importance of protecting such confidential information against unauthorized disclosure or use, and desire to establish clear guidelines for the handling and protection of such information;</w:t>
      </w:r>
    </w:p>
    <w:p w14:paraId="6C24F802">
      <w:pPr>
        <w:spacing w:line="276" w:lineRule="auto"/>
        <w:jc w:val="both"/>
        <w:rPr>
          <w:lang w:val="en-IN"/>
        </w:rPr>
      </w:pPr>
    </w:p>
    <w:p w14:paraId="6F69C071">
      <w:pPr>
        <w:pStyle w:val="15"/>
        <w:numPr>
          <w:ilvl w:val="0"/>
          <w:numId w:val="1"/>
        </w:numPr>
        <w:spacing w:line="276" w:lineRule="auto"/>
        <w:jc w:val="both"/>
        <w:rPr>
          <w:lang w:val="en-IN"/>
        </w:rPr>
      </w:pPr>
      <w:r>
        <w:rPr>
          <w:lang w:val="en-IN"/>
        </w:rPr>
        <w:t>WHEREAS, the parties wish to ensure that all intellectual property rights are appropriately protected and that any information shared is used solely for the purposes intended;</w:t>
      </w:r>
    </w:p>
    <w:p w14:paraId="1E9133EA">
      <w:pPr>
        <w:spacing w:line="276" w:lineRule="auto"/>
        <w:jc w:val="both"/>
        <w:rPr>
          <w:lang w:val="en-IN"/>
        </w:rPr>
      </w:pPr>
    </w:p>
    <w:p w14:paraId="47089388">
      <w:pPr>
        <w:spacing w:line="276" w:lineRule="auto"/>
        <w:ind w:left="630"/>
        <w:jc w:val="both"/>
        <w:rPr>
          <w:lang w:val="en-IN"/>
        </w:rPr>
      </w:pPr>
      <w:r>
        <w:rPr>
          <w:lang w:val="en-IN"/>
        </w:rPr>
        <w:t>F. NOW, THEREFORE, in consideration of the mutual covenants and promises contained herein, and for other good and valuable consideration, the receipt and sufficiency of which is hereby acknowledged, the parties agree as follows:</w:t>
      </w:r>
    </w:p>
    <w:p w14:paraId="13AD3B34">
      <w:pPr>
        <w:spacing w:line="276" w:lineRule="auto"/>
        <w:ind w:left="630"/>
        <w:jc w:val="both"/>
        <w:rPr>
          <w:b/>
          <w:smallCaps/>
        </w:rPr>
      </w:pPr>
    </w:p>
    <w:p w14:paraId="77C4EDE3">
      <w:pPr>
        <w:spacing w:line="276" w:lineRule="auto"/>
        <w:ind w:left="630"/>
        <w:jc w:val="both"/>
      </w:pPr>
      <w:r>
        <w:rPr>
          <w:b/>
          <w:smallCaps/>
        </w:rPr>
        <w:t>THE PARTIES AGREE AS FOLLOWS</w:t>
      </w:r>
      <w:r>
        <w:t>:</w:t>
      </w:r>
    </w:p>
    <w:p w14:paraId="58E71FEA">
      <w:pPr>
        <w:spacing w:line="276" w:lineRule="auto"/>
        <w:ind w:left="630"/>
        <w:jc w:val="both"/>
      </w:pPr>
    </w:p>
    <w:p w14:paraId="35C036FD">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Confidential Information</w:t>
      </w:r>
    </w:p>
    <w:p w14:paraId="2A0A5FBA">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b/>
          <w:color w:val="000000"/>
        </w:rPr>
      </w:pPr>
    </w:p>
    <w:p w14:paraId="6B0737E9">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As used in this Agreement, “Confidential Information” means all information, currently existing or subsequently created during the term of these discussions among the Parties, that a Party and/or any of its affiliates owns or controls that is not generally known to the public, whether of a technical, business or other nature (including, without limitation, trade secrets, know-how and information relating to the technology, software, products, product build and design, schematics, customers, strategic partners, business plans, pricing information, promotional and marketing objectives and timing, finances and other business affairs of such Party or otherwise related to that Party’s business, operations, management, assets, products properties, condition, financial or otherwise, or results of operations), that is disclosed by the Disclosing Party to the Receiving Party or that is otherwise learned by a Receiving Party in the course of its discussions or business dealings with, or its physical, telephonic or electronic access to the premises of, the Disclosing Party, and that has been identified as being proprietary and/or confidential or that by the nature of the circumstances surrounding the disclosure or receipt reasonably ought to be treated as proprietary and confidential. The Parties agree that any Confidential Information disclosed prior to the date hereof shall be protected by the terms of this Agreement.</w:t>
      </w:r>
    </w:p>
    <w:p w14:paraId="0EF8E194">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7CF2AF06">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Use and Ownership of Confidential Information</w:t>
      </w:r>
    </w:p>
    <w:p w14:paraId="0531653B">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b/>
          <w:color w:val="000000"/>
        </w:rPr>
      </w:pPr>
    </w:p>
    <w:p w14:paraId="53053936">
      <w:pPr>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color w:val="000000"/>
        </w:rPr>
        <w:t>The Receiving Party, except as expressly provided in this Agreement, will not disclose Confidential Information to anyone without the Disclosing Party's prior written consent.  In addition, the Receiving Party will not use, or permit others to use, Confidential Information for any purpose other than the Purpose and/or the negotiation and consummation of a business transaction between the Parties pursuant to a definitive agreement. The Disclosing Party shall disclose information/ details of the Prototype proposed including but not limited to samples with accessories, product technical specification, user manual, drawings/ gerber file, supporting documents, critical components certificate, information for Testing, HTA, Market research and all other requested services.</w:t>
      </w:r>
    </w:p>
    <w:p w14:paraId="0A70AFFA">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201BB7C1">
      <w:pPr>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color w:val="000000"/>
        </w:rPr>
        <w:t>Except as otherwise contemplated by this Agreement, the Receiving Party undertakes that, in order to protect the proprietary interest of the Disclosing Party in the Disclosing Party’s confidential information, it will not, during the term of this Agreement nor at any time thereafter, either use or exploit in any manner, or directly or indirectly divulge or disclose to others any of the Disclosing Party’s confidential information. The Receiving Party shall treat all confidential information disclosed to it as strictly confidential and only use such confidential information for the purposes of this Agreement. Each Party shall ensure that its directors, officers, employees, agents, representatives, students, faculty, Affiliates and attorneys comply at all times with this confidentiality undertaking. This clause does not apply to (i) information that is public other than because of a breach of this clause; (ii) disclosure required by law; or (iii) disclosure to a Party's related companies, auditor, banker or advisors.</w:t>
      </w:r>
    </w:p>
    <w:p w14:paraId="626527D9">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5DB6ADA3">
      <w:pPr>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color w:val="000000"/>
        </w:rPr>
        <w:t>The Receiving Party will take all reasonable measures to avoid disclosure, dissemination or unauthorised use of Confidential Information, including, at a minimum, those measures it takes to protect its own confidential information of a similar nature. All Confidential Information will remain the exclusive property of the Disclosing Party, and the Receiving Party will have no rights, by license or otherwise, to use the Confidential Information except as expressly provided herein.</w:t>
      </w:r>
    </w:p>
    <w:p w14:paraId="44301F14">
      <w:pPr>
        <w:pBdr>
          <w:top w:val="none" w:color="auto" w:sz="0" w:space="0"/>
          <w:left w:val="none" w:color="auto" w:sz="0" w:space="0"/>
          <w:bottom w:val="none" w:color="auto" w:sz="0" w:space="0"/>
          <w:right w:val="none" w:color="auto" w:sz="0" w:space="0"/>
          <w:between w:val="none" w:color="auto" w:sz="0" w:space="0"/>
        </w:pBdr>
        <w:ind w:left="720"/>
        <w:rPr>
          <w:color w:val="000000"/>
        </w:rPr>
      </w:pPr>
    </w:p>
    <w:p w14:paraId="05252C71">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7E26AD49">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Exceptions</w:t>
      </w:r>
    </w:p>
    <w:p w14:paraId="2CD2B93D">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2B192C68">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The provisions of Section 2 will not apply to any information that any Party establishes by written documentation (i) at the time of disclosure was or thereafter becomes publicly available without breach of this Agreement; (ii) was known to a Receiving Party prior to its receipt from the Disclosing Party; (iii) is rightfully received from a third Party that did not acquire or disclose such information by a wrongful or tortious act; or (iv) was developed by a Receiving Party without reference to any Confidential Information of any Disclosing Party.</w:t>
      </w:r>
    </w:p>
    <w:p w14:paraId="7FC9640D">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rPr>
      </w:pPr>
    </w:p>
    <w:p w14:paraId="6C10317E">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Disclosures to Governmental Entities</w:t>
      </w:r>
    </w:p>
    <w:p w14:paraId="4447A8D5">
      <w:pPr>
        <w:spacing w:line="276" w:lineRule="auto"/>
        <w:ind w:left="630"/>
        <w:jc w:val="both"/>
      </w:pPr>
    </w:p>
    <w:p w14:paraId="0C24C92D">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bookmarkStart w:id="0" w:name="_heading=h.gjdgxs" w:colFirst="0" w:colLast="0"/>
      <w:bookmarkEnd w:id="0"/>
      <w:r>
        <w:rPr>
          <w:color w:val="000000"/>
        </w:rPr>
        <w:t xml:space="preserve">If the Receiving Party becomes legally obligated to disclose Confidential Information to any governmental entity with jurisdiction over it, including any court of competent jurisdiction, such Receiving Party will give the Disclosing Party prompt written notice to allow the Disclosing Party to seek a protective order or other appropriate remedy unless such disclosure is prohibited by applicable law and shall provide the Disclosing Party with all reasonable assistance in seeking such protective order or other remedy to prevent disclosure of such information. Such notice must include, without limitation, identification of the information to be so disclosed and a copy of the order.  The Receiving Party will disclose only such information as it reasonably deems is legally required and will use reasonable efforts to obtain confidential treatment for any Confidential Information that is so disclosed. </w:t>
      </w:r>
    </w:p>
    <w:p w14:paraId="7A4675FF">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7C29AFBE">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Compliance with Laws</w:t>
      </w:r>
    </w:p>
    <w:p w14:paraId="664812D1">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7606D36F">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 xml:space="preserve">The Party will comply with all applicable laws, statutes, rules and regulations as they currently exist and as they may be amended from time to time and as they may apply to its operations and/or the disclosure, storage, transfer and usage of the Confidential Information. </w:t>
      </w:r>
    </w:p>
    <w:p w14:paraId="7EEA3EA9">
      <w:pPr>
        <w:spacing w:line="276" w:lineRule="auto"/>
        <w:ind w:left="630"/>
        <w:jc w:val="both"/>
      </w:pPr>
    </w:p>
    <w:p w14:paraId="7B72C49D">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No Required Disclosure</w:t>
      </w:r>
    </w:p>
    <w:p w14:paraId="7CEDB889">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46CD6990">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Nothing in this Agreement shall be construed as an obligation for any Party to disclose proprietary information or evaluation materials to the other Party or to execute any definitive agreement in relation to the Purpose. The Confidential Information discussed hereby is disclosed on as-is basis. The Disclosing Party shall not be considered to have made any representation or warranty as to the accuracy or completeness of any information provided hereunder. The Receiving Party and its affiliates will be responsible for conducting and completing its own independent investigation, evaluation and due diligence relative to engaging in a transaction with the other Party to this Agreement.</w:t>
      </w:r>
    </w:p>
    <w:p w14:paraId="515794A6">
      <w:pPr>
        <w:spacing w:line="276" w:lineRule="auto"/>
        <w:ind w:left="630"/>
        <w:jc w:val="both"/>
      </w:pPr>
    </w:p>
    <w:p w14:paraId="27EE8E41">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Receiving Party Representatives</w:t>
      </w:r>
    </w:p>
    <w:p w14:paraId="05D42750">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36F4D76B">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The Receiving Party will restrict the possession, knowledge, development and use of Confidential Information only to such of its employees, consultants, attorneys and entities controlled by or controlling it (collectively, “Representatives”) who have a need to know Confidential Information in connection with the purposes set forth in Section 2.  The Receiving Party’s Representatives will have access only to the Confidential Information they need for such purposes, and the Receiving Party will ensure that its Representatives comply with this Agreement. The Receiving Party will be liable for any breach of this Agreement by its Representatives and will promptly notify the Disclosing Party of any such breach with in a period of 15 days from the knowledge of breach through email or written notice.</w:t>
      </w:r>
    </w:p>
    <w:p w14:paraId="69F8F5EA">
      <w:pPr>
        <w:spacing w:line="276" w:lineRule="auto"/>
        <w:ind w:left="630"/>
        <w:jc w:val="both"/>
      </w:pPr>
    </w:p>
    <w:p w14:paraId="0EFF0E3E">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Right of Erasure &amp; Return of Confidential Information</w:t>
      </w:r>
    </w:p>
    <w:p w14:paraId="69D21A24">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3C41CB11">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 xml:space="preserve">In the event that the Parties determine not to proceed with discussions with respect to the business opportunity and/or upon the Disclosing Party’s written request, the Receiving Party will promptly return or erase (or, in the case of electronic embodiments, permanently erase) all tangible material embodying Confidential Information (in any form and including, without limitation, all summaries, copies and excerpts of Confidential Information) in its possession or under its control as specified by the disclosing party.  </w:t>
      </w:r>
    </w:p>
    <w:p w14:paraId="43182BE9">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1159503B">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Independent Development</w:t>
      </w:r>
    </w:p>
    <w:p w14:paraId="2A679EF5">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6449E755">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 xml:space="preserve">The Disclosing Party acknowledges that the Receiving Party may currently or in the future be developing information internally, or receiving information from other parties, that is similar to the Confidential Information.  Accordingly, nothing in this Agreement will be construed as a representation, covenant or agreement that the Receiving Party will not develop or have developed for it products, concepts, systems or techniques that are similar to or compete with the products, concepts, systems or techniques contemplated by or embodied in the Confidential Information, provided that the Receiving Party can document such development and such development does not violate any of its obligations under this Agreement. </w:t>
      </w:r>
    </w:p>
    <w:p w14:paraId="023C88EA">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675D3519">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Injunctive Relief</w:t>
      </w:r>
    </w:p>
    <w:p w14:paraId="7DCAF3D8">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6DF9AEA9">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 xml:space="preserve">The Receiving Party acknowledges that disclosure or use of Confidential Information in violation of this Agreement could cause irreparable harm to the Disclosing Party for which monetary damages may be difficult to ascertain or an inadequate remedy. The Receiving Party therefore agrees that the Disclosing Party will have the right, in addition to its other rights and remedies, to seek injunctive relief for any violation of this Agreement without posting bond, or by posting bond at the lowest amount required by laws of India. </w:t>
      </w:r>
    </w:p>
    <w:p w14:paraId="1EAE79B7">
      <w:pPr>
        <w:spacing w:line="276" w:lineRule="auto"/>
        <w:ind w:left="630"/>
        <w:jc w:val="both"/>
      </w:pPr>
    </w:p>
    <w:p w14:paraId="26801FBF">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Limited Relationship</w:t>
      </w:r>
    </w:p>
    <w:p w14:paraId="1C4EBA0E">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1344727F">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This Agreement will not create a joint venture, partnership or other formal business relationship or entity of any kind, or an obligation to form any such relationship or entity.  Each Party will act as an independent contractor and not as an agent of any other Party for any purpose, and neither will have the authority to bind the other Parties in the absence of a definitive agreement governing the prospective transaction.</w:t>
      </w:r>
    </w:p>
    <w:p w14:paraId="43E92995">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62ED22DA">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Entire Agreement; Amendment</w:t>
      </w:r>
    </w:p>
    <w:p w14:paraId="3E5EEA59">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b/>
          <w:color w:val="000000"/>
        </w:rPr>
      </w:pPr>
    </w:p>
    <w:p w14:paraId="5A513A69">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This Agreement constitutes the entire agreement among the Parties relating to the matters discussed herein and supersedes all prior oral and written understandings with respect to any information disclosed or received under this Agreement.  This Agreement may be amended or modified only with the mutual written consent of the Parties.</w:t>
      </w:r>
    </w:p>
    <w:p w14:paraId="793AC56D">
      <w:pPr>
        <w:spacing w:line="276" w:lineRule="auto"/>
        <w:ind w:left="630"/>
        <w:jc w:val="both"/>
      </w:pPr>
    </w:p>
    <w:p w14:paraId="5EB4ED64">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Term and Termination</w:t>
      </w:r>
    </w:p>
    <w:p w14:paraId="5E040CD6">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5C6D6314">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This Agreement is intended to cover Confidential Information disclosed or received by any Party prior or subsequent to the date of this Agreement.  The term of this engagement shall commence from the Effective Date of this Agreement and shall continue till the parties mutually decide. The Parties hereto may mutually agree to renew this Agreement in writing signed by both Parties on or prior to the completion of the term. Any party shall terminate the agreement with 30 days written notice for violation of any covenants under this agreement.</w:t>
      </w:r>
    </w:p>
    <w:p w14:paraId="6B7EE156">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7D978FBB">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Non-waiver</w:t>
      </w:r>
    </w:p>
    <w:p w14:paraId="3A7203ED">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430D72D7">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It is understood that any failure or delay by any Party to enforce such Party’s rights, powers or privileges hereunder, including, without limitation, any other Party's strict performance of any provision of this Agreement, will not constitute a waiver of its right to subsequently enforce such provision or any other provision of this Agreement.</w:t>
      </w:r>
    </w:p>
    <w:p w14:paraId="75FB707A">
      <w:pPr>
        <w:spacing w:line="276" w:lineRule="auto"/>
        <w:ind w:left="630"/>
        <w:jc w:val="both"/>
      </w:pPr>
    </w:p>
    <w:p w14:paraId="4A16F85F">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jc w:val="both"/>
        <w:rPr>
          <w:color w:val="000000"/>
        </w:rPr>
      </w:pPr>
      <w:r>
        <w:rPr>
          <w:b/>
          <w:color w:val="000000"/>
        </w:rPr>
        <w:t>Legal Fees</w:t>
      </w:r>
    </w:p>
    <w:p w14:paraId="6E433EAF">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p w14:paraId="24C8A82D">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r>
        <w:rPr>
          <w:color w:val="000000"/>
        </w:rPr>
        <w:t xml:space="preserve">In the event any court action is commenced by one Party against any other with respect to this Agreement, the substantially prevailing Party may be entitled to recover its out-of-pocket and court costs and reasonable legal fees.  </w:t>
      </w:r>
    </w:p>
    <w:p w14:paraId="40E88FB4">
      <w:pPr>
        <w:pBdr>
          <w:top w:val="none" w:color="auto" w:sz="0" w:space="0"/>
          <w:left w:val="none" w:color="auto" w:sz="0" w:space="0"/>
          <w:bottom w:val="none" w:color="auto" w:sz="0" w:space="0"/>
          <w:right w:val="none" w:color="auto" w:sz="0" w:space="0"/>
          <w:between w:val="none" w:color="auto" w:sz="0" w:space="0"/>
        </w:pBdr>
        <w:spacing w:line="276" w:lineRule="auto"/>
        <w:ind w:left="630"/>
        <w:jc w:val="both"/>
      </w:pPr>
    </w:p>
    <w:p w14:paraId="34DDBF90">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3A0AC29E">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rPr>
          <w:b/>
        </w:rPr>
      </w:pPr>
      <w:r>
        <w:rPr>
          <w:b/>
        </w:rPr>
        <w:t>Governing Law and Dispute Resolution</w:t>
      </w:r>
    </w:p>
    <w:p w14:paraId="49D8EFEE">
      <w:pPr>
        <w:pBdr>
          <w:top w:val="none" w:color="auto" w:sz="0" w:space="0"/>
          <w:left w:val="none" w:color="auto" w:sz="0" w:space="0"/>
          <w:bottom w:val="none" w:color="auto" w:sz="0" w:space="0"/>
          <w:right w:val="none" w:color="auto" w:sz="0" w:space="0"/>
          <w:between w:val="none" w:color="auto" w:sz="0" w:space="0"/>
        </w:pBdr>
        <w:spacing w:line="276" w:lineRule="auto"/>
        <w:ind w:left="630"/>
        <w:rPr>
          <w:b/>
        </w:rPr>
      </w:pPr>
    </w:p>
    <w:p w14:paraId="227950B5">
      <w:pPr>
        <w:pBdr>
          <w:top w:val="none" w:color="auto" w:sz="0" w:space="0"/>
          <w:left w:val="none" w:color="auto" w:sz="0" w:space="0"/>
          <w:bottom w:val="none" w:color="auto" w:sz="0" w:space="0"/>
          <w:right w:val="none" w:color="auto" w:sz="0" w:space="0"/>
          <w:between w:val="none" w:color="auto" w:sz="0" w:space="0"/>
        </w:pBdr>
        <w:spacing w:line="276" w:lineRule="auto"/>
        <w:ind w:left="630"/>
        <w:jc w:val="both"/>
      </w:pPr>
      <w:r>
        <w:t>This Agreement shall be governed by the laws of India, may be executed in counterpart copies, and, in the absence of an original signature, faxed signatures will be considered the equivalent of an original signature.  The jurisdiction for settlement of all disputes arising from this Agreement shall be Indian Courts and through Arbitration as per Arbitration Conciliation Act, 1996, as amended from time to time, wherein both the parties shall appoint one Arbitrator and further those two Arbitrators shall appoint principal Arbitrator who shall be retired High court Judge. Principal arbitrator shall precede over the proceedings and Arbitral Award passed shall be binding on parties. The Seat and Venue of Arbitration shall be Visakhapatnam, Andhra Pradesh.</w:t>
      </w:r>
    </w:p>
    <w:p w14:paraId="231A0207">
      <w:pPr>
        <w:pBdr>
          <w:top w:val="none" w:color="auto" w:sz="0" w:space="0"/>
          <w:left w:val="none" w:color="auto" w:sz="0" w:space="0"/>
          <w:bottom w:val="none" w:color="auto" w:sz="0" w:space="0"/>
          <w:right w:val="none" w:color="auto" w:sz="0" w:space="0"/>
          <w:between w:val="none" w:color="auto" w:sz="0" w:space="0"/>
        </w:pBdr>
        <w:spacing w:line="276" w:lineRule="auto"/>
      </w:pPr>
    </w:p>
    <w:p w14:paraId="37CC8AF4">
      <w:pPr>
        <w:pBdr>
          <w:top w:val="none" w:color="auto" w:sz="0" w:space="0"/>
          <w:left w:val="none" w:color="auto" w:sz="0" w:space="0"/>
          <w:bottom w:val="none" w:color="auto" w:sz="0" w:space="0"/>
          <w:right w:val="none" w:color="auto" w:sz="0" w:space="0"/>
          <w:between w:val="none" w:color="auto" w:sz="0" w:space="0"/>
        </w:pBdr>
        <w:spacing w:line="276" w:lineRule="auto"/>
        <w:rPr>
          <w:color w:val="000000"/>
        </w:rPr>
      </w:pPr>
    </w:p>
    <w:p w14:paraId="3CFB8643">
      <w:pPr>
        <w:pBdr>
          <w:top w:val="none" w:color="auto" w:sz="0" w:space="0"/>
          <w:left w:val="none" w:color="auto" w:sz="0" w:space="0"/>
          <w:bottom w:val="none" w:color="auto" w:sz="0" w:space="0"/>
          <w:right w:val="none" w:color="auto" w:sz="0" w:space="0"/>
          <w:between w:val="none" w:color="auto" w:sz="0" w:space="0"/>
        </w:pBdr>
        <w:spacing w:line="276" w:lineRule="auto"/>
        <w:ind w:left="630"/>
        <w:rPr>
          <w:color w:val="000000"/>
        </w:rPr>
      </w:pPr>
    </w:p>
    <w:p w14:paraId="185A8718">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630" w:firstLine="0"/>
        <w:rPr>
          <w:color w:val="000000"/>
        </w:rPr>
      </w:pPr>
      <w:r>
        <w:t xml:space="preserve"> </w:t>
      </w:r>
      <w:r>
        <w:rPr>
          <w:b/>
          <w:color w:val="000000"/>
        </w:rPr>
        <w:t>Miscellaneous</w:t>
      </w:r>
    </w:p>
    <w:p w14:paraId="63FD5385">
      <w:pPr>
        <w:pBdr>
          <w:top w:val="none" w:color="auto" w:sz="0" w:space="0"/>
          <w:left w:val="none" w:color="auto" w:sz="0" w:space="0"/>
          <w:bottom w:val="none" w:color="auto" w:sz="0" w:space="0"/>
          <w:right w:val="none" w:color="auto" w:sz="0" w:space="0"/>
          <w:between w:val="none" w:color="auto" w:sz="0" w:space="0"/>
        </w:pBdr>
        <w:spacing w:line="276" w:lineRule="auto"/>
        <w:ind w:left="630"/>
        <w:rPr>
          <w:color w:val="000000"/>
        </w:rPr>
      </w:pPr>
    </w:p>
    <w:p w14:paraId="087A112D">
      <w:pPr>
        <w:spacing w:line="276" w:lineRule="auto"/>
        <w:ind w:left="630"/>
        <w:jc w:val="both"/>
      </w:pPr>
      <w:r>
        <w:t xml:space="preserve">If a provision of this Agreement is held invalid under applicable law, such invalidity will not affect any other provision of this Agreement that can be given effect without the invalid provision.  Further, all terms and conditions of this Agreement will be deemed enforceable to the fullest extent permissible under applicable law, and, when necessary, the court is requested to reform any and all terms or conditions to give them such effect.  Each Party may assign this Agreement to an affiliated entity, but no such assignment shall relieve the assigning Party of its obligations hereunder.  The terms of this Agreement shall be binding upon and shall inure to the benefit of the successors and assigns of the Parties hereto.  </w:t>
      </w:r>
    </w:p>
    <w:p w14:paraId="4DF1A87D">
      <w:pPr>
        <w:spacing w:line="276" w:lineRule="auto"/>
        <w:ind w:left="630"/>
        <w:jc w:val="both"/>
      </w:pPr>
    </w:p>
    <w:p w14:paraId="4AD9A5A4">
      <w:pPr>
        <w:spacing w:line="276" w:lineRule="auto"/>
        <w:ind w:left="630"/>
        <w:jc w:val="both"/>
      </w:pPr>
    </w:p>
    <w:p w14:paraId="1AB46371">
      <w:pPr>
        <w:pBdr>
          <w:top w:val="none" w:color="auto" w:sz="0" w:space="0"/>
          <w:left w:val="none" w:color="auto" w:sz="0" w:space="0"/>
          <w:bottom w:val="none" w:color="auto" w:sz="0" w:space="0"/>
          <w:right w:val="none" w:color="auto" w:sz="0" w:space="0"/>
          <w:between w:val="none" w:color="auto" w:sz="0" w:space="0"/>
        </w:pBdr>
        <w:spacing w:line="276" w:lineRule="auto"/>
        <w:ind w:left="630"/>
        <w:jc w:val="both"/>
        <w:rPr>
          <w:color w:val="000000"/>
        </w:rPr>
      </w:pPr>
    </w:p>
    <w:tbl>
      <w:tblPr>
        <w:tblStyle w:val="19"/>
        <w:tblW w:w="852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44"/>
        <w:gridCol w:w="3576"/>
      </w:tblGrid>
      <w:tr w14:paraId="0E060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43" w:type="dxa"/>
          </w:tcPr>
          <w:p w14:paraId="155797E2">
            <w:pPr>
              <w:spacing w:line="276" w:lineRule="auto"/>
              <w:ind w:left="630"/>
              <w:rPr>
                <w:b/>
              </w:rPr>
            </w:pPr>
            <w:r>
              <w:rPr>
                <w:b/>
              </w:rPr>
              <w:t>For INKOOLU DESIGN PVT. LTD</w:t>
            </w:r>
          </w:p>
          <w:p w14:paraId="5C6A648F">
            <w:pPr>
              <w:spacing w:line="276" w:lineRule="auto"/>
              <w:ind w:left="630"/>
              <w:rPr>
                <w:b/>
              </w:rPr>
            </w:pPr>
          </w:p>
          <w:p w14:paraId="78A0A946">
            <w:pPr>
              <w:spacing w:line="276" w:lineRule="auto"/>
              <w:ind w:left="630"/>
              <w:rPr>
                <w:b/>
              </w:rPr>
            </w:pPr>
          </w:p>
          <w:p w14:paraId="468ACEC7">
            <w:pPr>
              <w:spacing w:line="276" w:lineRule="auto"/>
              <w:ind w:left="630"/>
              <w:rPr>
                <w:b/>
              </w:rPr>
            </w:pPr>
          </w:p>
          <w:p w14:paraId="562B74F2">
            <w:pPr>
              <w:spacing w:line="276" w:lineRule="auto"/>
              <w:ind w:left="630"/>
              <w:rPr>
                <w:b/>
              </w:rPr>
            </w:pPr>
          </w:p>
        </w:tc>
        <w:tc>
          <w:tcPr>
            <w:tcW w:w="3576" w:type="dxa"/>
          </w:tcPr>
          <w:p w14:paraId="5C323AC9">
            <w:pPr>
              <w:spacing w:line="276" w:lineRule="auto"/>
              <w:ind w:left="630"/>
              <w:rPr>
                <w:b/>
              </w:rPr>
            </w:pPr>
            <w:r>
              <w:rPr>
                <w:b/>
              </w:rPr>
              <w:t>For &lt;Company Name&gt;</w:t>
            </w:r>
          </w:p>
        </w:tc>
      </w:tr>
      <w:tr w14:paraId="75D6F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43" w:type="dxa"/>
          </w:tcPr>
          <w:p w14:paraId="18403294">
            <w:pPr>
              <w:spacing w:line="276" w:lineRule="auto"/>
              <w:ind w:left="630"/>
              <w:rPr>
                <w:b/>
              </w:rPr>
            </w:pPr>
            <w:r>
              <w:rPr>
                <w:b/>
              </w:rPr>
              <w:t>Mr. Krishna Sai Inkoolu</w:t>
            </w:r>
          </w:p>
          <w:p w14:paraId="71E12982">
            <w:pPr>
              <w:spacing w:line="276" w:lineRule="auto"/>
              <w:ind w:left="630"/>
              <w:rPr>
                <w:b/>
              </w:rPr>
            </w:pPr>
            <w:r>
              <w:rPr>
                <w:b/>
              </w:rPr>
              <w:t>CEO</w:t>
            </w:r>
          </w:p>
          <w:p w14:paraId="660266F2">
            <w:pPr>
              <w:spacing w:line="276" w:lineRule="auto"/>
              <w:ind w:left="630"/>
              <w:rPr>
                <w:b/>
              </w:rPr>
            </w:pPr>
          </w:p>
          <w:p w14:paraId="05344289">
            <w:pPr>
              <w:spacing w:line="276" w:lineRule="auto"/>
              <w:ind w:left="630"/>
              <w:rPr>
                <w:b/>
              </w:rPr>
            </w:pPr>
            <w:r>
              <w:rPr>
                <w:b/>
              </w:rPr>
              <w:t>Date:</w:t>
            </w:r>
          </w:p>
          <w:p w14:paraId="40E93578">
            <w:pPr>
              <w:spacing w:line="276" w:lineRule="auto"/>
              <w:ind w:left="630"/>
              <w:rPr>
                <w:b/>
              </w:rPr>
            </w:pPr>
            <w:r>
              <w:rPr>
                <w:b/>
              </w:rPr>
              <w:t>Place:VISAKHAPATNAM</w:t>
            </w:r>
          </w:p>
          <w:p w14:paraId="4DB5232C">
            <w:pPr>
              <w:spacing w:line="276" w:lineRule="auto"/>
              <w:ind w:left="630"/>
              <w:rPr>
                <w:b/>
              </w:rPr>
            </w:pPr>
          </w:p>
          <w:p w14:paraId="39131C03">
            <w:pPr>
              <w:spacing w:line="276" w:lineRule="auto"/>
              <w:ind w:left="630"/>
              <w:rPr>
                <w:b/>
              </w:rPr>
            </w:pPr>
            <w:r>
              <w:rPr>
                <w:b/>
              </w:rPr>
              <w:t xml:space="preserve">Mailing Address: C/o C5, </w:t>
            </w:r>
            <w:r>
              <w:t>AMTZ Campus, Pragati Maidan, VM Steel Project S.O., Visakhapatnam - 530031</w:t>
            </w:r>
          </w:p>
        </w:tc>
        <w:tc>
          <w:tcPr>
            <w:tcW w:w="3576" w:type="dxa"/>
          </w:tcPr>
          <w:p w14:paraId="2D266E71">
            <w:pPr>
              <w:spacing w:line="276" w:lineRule="auto"/>
              <w:ind w:left="630"/>
              <w:rPr>
                <w:b/>
              </w:rPr>
            </w:pPr>
            <w:r>
              <w:rPr>
                <w:b/>
              </w:rPr>
              <w:t>&lt;Name Authorised Signatory&gt;</w:t>
            </w:r>
          </w:p>
          <w:p w14:paraId="3667A63D">
            <w:pPr>
              <w:spacing w:line="276" w:lineRule="auto"/>
              <w:ind w:left="630"/>
              <w:rPr>
                <w:b/>
              </w:rPr>
            </w:pPr>
            <w:r>
              <w:rPr>
                <w:b/>
              </w:rPr>
              <w:t>&lt;Designation&gt;</w:t>
            </w:r>
          </w:p>
          <w:p w14:paraId="41614D0C">
            <w:pPr>
              <w:spacing w:line="276" w:lineRule="auto"/>
              <w:ind w:left="630"/>
              <w:rPr>
                <w:b/>
              </w:rPr>
            </w:pPr>
          </w:p>
          <w:p w14:paraId="4CD5ABDC">
            <w:pPr>
              <w:spacing w:line="276" w:lineRule="auto"/>
              <w:ind w:left="630"/>
              <w:rPr>
                <w:rFonts w:hint="default"/>
                <w:b/>
                <w:lang w:val="en-IN"/>
              </w:rPr>
            </w:pPr>
            <w:r>
              <w:rPr>
                <w:b/>
              </w:rPr>
              <w:t>Date:</w:t>
            </w:r>
            <w:r>
              <w:rPr>
                <w:rFonts w:hint="default"/>
                <w:b/>
                <w:lang w:val="en-IN"/>
              </w:rPr>
              <w:t>&lt;Date&gt;</w:t>
            </w:r>
          </w:p>
          <w:p w14:paraId="3C2F0358">
            <w:pPr>
              <w:spacing w:line="276" w:lineRule="auto"/>
              <w:ind w:left="630"/>
              <w:rPr>
                <w:rFonts w:hint="default"/>
                <w:b/>
                <w:lang w:val="en-IN"/>
              </w:rPr>
            </w:pPr>
            <w:r>
              <w:rPr>
                <w:b/>
              </w:rPr>
              <w:t>Place:</w:t>
            </w:r>
            <w:r>
              <w:rPr>
                <w:rFonts w:hint="default"/>
                <w:b/>
                <w:lang w:val="en-IN"/>
              </w:rPr>
              <w:t>&lt;Place&gt;</w:t>
            </w:r>
          </w:p>
          <w:p w14:paraId="72A01A70">
            <w:pPr>
              <w:spacing w:line="276" w:lineRule="auto"/>
              <w:ind w:left="630"/>
              <w:rPr>
                <w:b/>
              </w:rPr>
            </w:pPr>
          </w:p>
          <w:p w14:paraId="032321DE">
            <w:pPr>
              <w:spacing w:line="276" w:lineRule="auto"/>
              <w:ind w:left="630"/>
              <w:rPr>
                <w:rFonts w:hint="default"/>
                <w:b/>
                <w:lang w:val="en-IN"/>
              </w:rPr>
            </w:pPr>
            <w:r>
              <w:rPr>
                <w:b/>
              </w:rPr>
              <w:t xml:space="preserve">Mailing Address: </w:t>
            </w:r>
            <w:r>
              <w:rPr>
                <w:rFonts w:hint="default"/>
                <w:lang w:val="en-IN"/>
              </w:rPr>
              <w:t>&lt;Mailing Address&gt;</w:t>
            </w:r>
          </w:p>
        </w:tc>
      </w:tr>
    </w:tbl>
    <w:p w14:paraId="5338D648">
      <w:pPr>
        <w:spacing w:line="276" w:lineRule="auto"/>
      </w:pPr>
    </w:p>
    <w:p w14:paraId="46815F4C">
      <w:pPr>
        <w:spacing w:line="276" w:lineRule="auto"/>
      </w:pPr>
    </w:p>
    <w:p w14:paraId="6C31C9F6">
      <w:pPr>
        <w:spacing w:line="276" w:lineRule="auto"/>
      </w:pPr>
    </w:p>
    <w:p w14:paraId="4D1DDD06">
      <w:pPr>
        <w:spacing w:line="276" w:lineRule="auto"/>
      </w:pPr>
    </w:p>
    <w:p w14:paraId="0DB5165C">
      <w:pPr>
        <w:spacing w:line="276" w:lineRule="auto"/>
      </w:pPr>
    </w:p>
    <w:p w14:paraId="77277F77">
      <w:pPr>
        <w:spacing w:line="276" w:lineRule="auto"/>
      </w:pPr>
    </w:p>
    <w:sectPr>
      <w:headerReference r:id="rId4" w:type="first"/>
      <w:footerReference r:id="rId7" w:type="first"/>
      <w:headerReference r:id="rId3" w:type="default"/>
      <w:footerReference r:id="rId5" w:type="default"/>
      <w:footerReference r:id="rId6" w:type="even"/>
      <w:pgSz w:w="11900" w:h="16840"/>
      <w:pgMar w:top="1440" w:right="1800" w:bottom="1440" w:left="540" w:header="360" w:footer="360"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Roboto">
    <w:altName w:val="Wide Latin"/>
    <w:panose1 w:val="02000000000000000000"/>
    <w:charset w:val="00"/>
    <w:family w:val="auto"/>
    <w:pitch w:val="default"/>
    <w:sig w:usb0="00000000" w:usb1="00000000" w:usb2="00000020" w:usb3="00000000" w:csb0="0000019F" w:csb1="00000000"/>
  </w:font>
  <w:font w:name="Wide Latin">
    <w:panose1 w:val="020A0A070505050204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1861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2</w:t>
    </w:r>
    <w:r>
      <w:rPr>
        <w:color w:val="000000"/>
      </w:rPr>
      <w:fldChar w:fldCharType="end"/>
    </w:r>
  </w:p>
  <w:p w14:paraId="5551C286">
    <w:pPr>
      <w:jc w:val="center"/>
      <w:rPr>
        <w:rFonts w:ascii="Calibri" w:hAnsi="Calibri" w:eastAsia="Calibri" w:cs="Calibri"/>
        <w:sz w:val="22"/>
        <w:szCs w:val="22"/>
      </w:rPr>
    </w:pPr>
    <w:r>
      <w:rPr>
        <w:rFonts w:ascii="Calibri" w:hAnsi="Calibri" w:eastAsia="Calibri" w:cs="Calibri"/>
        <w:sz w:val="22"/>
        <w:szCs w:val="22"/>
      </w:rPr>
      <w:t>CIN U74999AP2018PTC107879</w:t>
    </w:r>
  </w:p>
  <w:p w14:paraId="3CA061ED">
    <w:pPr>
      <w:jc w:val="center"/>
      <w:rPr>
        <w:rFonts w:ascii="Calibri" w:hAnsi="Calibri" w:eastAsia="Calibri" w:cs="Calibri"/>
        <w:sz w:val="18"/>
        <w:szCs w:val="18"/>
      </w:rPr>
    </w:pPr>
    <w:r>
      <w:rPr>
        <w:rFonts w:ascii="Calibri" w:hAnsi="Calibri" w:eastAsia="Calibri" w:cs="Calibri"/>
        <w:sz w:val="22"/>
        <w:szCs w:val="22"/>
      </w:rPr>
      <w:t xml:space="preserve">Address - </w:t>
    </w:r>
    <w:r>
      <w:rPr>
        <w:rFonts w:ascii="Calibri" w:hAnsi="Calibri" w:eastAsia="Calibri" w:cs="Calibri"/>
        <w:sz w:val="18"/>
        <w:szCs w:val="18"/>
      </w:rPr>
      <w:t>C5, I Hub, Andhra Pradesh Medtech Zone, Nadupuru Reserve Forest, Visakhapatnam - 530031</w:t>
    </w:r>
  </w:p>
  <w:p w14:paraId="6FD9935E">
    <w:pPr>
      <w:jc w:val="center"/>
    </w:pPr>
    <w:r>
      <w:rPr>
        <w:rFonts w:ascii="Calibri" w:hAnsi="Calibri" w:eastAsia="Calibri" w:cs="Calibri"/>
        <w:sz w:val="18"/>
        <w:szCs w:val="18"/>
      </w:rPr>
      <w:t>www.indq.in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30F4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fldChar w:fldCharType="end"/>
    </w:r>
  </w:p>
  <w:p w14:paraId="0A7D936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C8FD8">
    <w:pPr>
      <w:jc w:val="center"/>
      <w:rPr>
        <w:rFonts w:ascii="Calibri" w:hAnsi="Calibri" w:eastAsia="Calibri" w:cs="Calibri"/>
        <w:b/>
        <w:sz w:val="22"/>
        <w:szCs w:val="22"/>
      </w:rPr>
    </w:pPr>
    <w:r>
      <w:rPr>
        <w:rFonts w:ascii="Calibri" w:hAnsi="Calibri" w:eastAsia="Calibri" w:cs="Calibri"/>
        <w:b/>
        <w:sz w:val="22"/>
        <w:szCs w:val="22"/>
      </w:rPr>
      <w:t>Inkoolu Design Private Limited</w:t>
    </w:r>
  </w:p>
  <w:p w14:paraId="1C173174">
    <w:pPr>
      <w:jc w:val="center"/>
      <w:rPr>
        <w:rFonts w:ascii="Calibri" w:hAnsi="Calibri" w:eastAsia="Calibri" w:cs="Calibri"/>
        <w:sz w:val="22"/>
        <w:szCs w:val="22"/>
      </w:rPr>
    </w:pPr>
    <w:r>
      <w:rPr>
        <w:rFonts w:ascii="Calibri" w:hAnsi="Calibri" w:eastAsia="Calibri" w:cs="Calibri"/>
        <w:sz w:val="22"/>
        <w:szCs w:val="22"/>
      </w:rPr>
      <w:t>CIN U74999AP2018PTC107879</w:t>
    </w:r>
  </w:p>
  <w:p w14:paraId="40D0FCC4">
    <w:pPr>
      <w:jc w:val="center"/>
      <w:rPr>
        <w:rFonts w:ascii="Calibri" w:hAnsi="Calibri" w:eastAsia="Calibri" w:cs="Calibri"/>
        <w:sz w:val="18"/>
        <w:szCs w:val="18"/>
      </w:rPr>
    </w:pPr>
    <w:r>
      <w:rPr>
        <w:rFonts w:ascii="Calibri" w:hAnsi="Calibri" w:eastAsia="Calibri" w:cs="Calibri"/>
        <w:sz w:val="22"/>
        <w:szCs w:val="22"/>
      </w:rPr>
      <w:t xml:space="preserve">Address - </w:t>
    </w:r>
    <w:r>
      <w:rPr>
        <w:rFonts w:ascii="Calibri" w:hAnsi="Calibri" w:eastAsia="Calibri" w:cs="Calibri"/>
        <w:sz w:val="18"/>
        <w:szCs w:val="18"/>
      </w:rPr>
      <w:t>C5, I Hub, Andhra Pradesh Medtech Zone, Nadupuru Reserve Forest, Visakhapatnam - 530031</w:t>
    </w:r>
  </w:p>
  <w:p w14:paraId="2C7DCBF0">
    <w:pPr>
      <w:jc w:val="center"/>
    </w:pPr>
    <w:r>
      <w:rPr>
        <w:rFonts w:ascii="Calibri" w:hAnsi="Calibri" w:eastAsia="Calibri" w:cs="Calibri"/>
        <w:sz w:val="18"/>
        <w:szCs w:val="18"/>
      </w:rPr>
      <w:t>www.indq.in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BD2B7">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A9C6F">
    <w:pPr>
      <w:ind w:left="540"/>
      <w:jc w:val="center"/>
      <w:rPr>
        <w:b/>
      </w:rPr>
    </w:pPr>
    <w:r>
      <w:drawing>
        <wp:anchor distT="114300" distB="114300" distL="114300" distR="114300" simplePos="0" relativeHeight="251659264" behindDoc="1" locked="0" layoutInCell="1" allowOverlap="1">
          <wp:simplePos x="0" y="0"/>
          <wp:positionH relativeFrom="column">
            <wp:posOffset>360680</wp:posOffset>
          </wp:positionH>
          <wp:positionV relativeFrom="paragraph">
            <wp:posOffset>210185</wp:posOffset>
          </wp:positionV>
          <wp:extent cx="808355" cy="3175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808567" cy="317437"/>
                  </a:xfrm>
                  <a:prstGeom prst="rect">
                    <a:avLst/>
                  </a:prstGeom>
                </pic:spPr>
              </pic:pic>
            </a:graphicData>
          </a:graphic>
        </wp:anchor>
      </w:drawing>
    </w:r>
    <w:r>
      <w:drawing>
        <wp:anchor distT="114300" distB="114300" distL="114300" distR="114300" simplePos="0" relativeHeight="251660288" behindDoc="1" locked="0" layoutInCell="1" allowOverlap="1">
          <wp:simplePos x="0" y="0"/>
          <wp:positionH relativeFrom="column">
            <wp:posOffset>5400675</wp:posOffset>
          </wp:positionH>
          <wp:positionV relativeFrom="paragraph">
            <wp:posOffset>160655</wp:posOffset>
          </wp:positionV>
          <wp:extent cx="920750" cy="34480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t="-15432" b="15432"/>
                  <a:stretch>
                    <a:fillRect/>
                  </a:stretch>
                </pic:blipFill>
                <pic:spPr>
                  <a:xfrm>
                    <a:off x="0" y="0"/>
                    <a:ext cx="921007" cy="345017"/>
                  </a:xfrm>
                  <a:prstGeom prst="rect">
                    <a:avLst/>
                  </a:prstGeom>
                </pic:spPr>
              </pic:pic>
            </a:graphicData>
          </a:graphic>
        </wp:anchor>
      </w:drawing>
    </w:r>
  </w:p>
  <w:p w14:paraId="2D2FFDAE">
    <w:pPr>
      <w:ind w:left="540"/>
      <w:jc w:val="center"/>
      <w:rPr>
        <w:rFonts w:ascii="Roboto" w:hAnsi="Roboto" w:eastAsia="Roboto" w:cs="Roboto"/>
        <w:sz w:val="36"/>
        <w:szCs w:val="36"/>
      </w:rPr>
    </w:pPr>
    <w:r>
      <w:rPr>
        <w:rFonts w:ascii="Roboto" w:hAnsi="Roboto" w:eastAsia="Roboto" w:cs="Roboto"/>
        <w:sz w:val="36"/>
        <w:szCs w:val="36"/>
      </w:rPr>
      <w:t xml:space="preserve">INDQ Product Design Studio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F2C6E"/>
    <w:multiLevelType w:val="multilevel"/>
    <w:tmpl w:val="1B1F2C6E"/>
    <w:lvl w:ilvl="0" w:tentative="0">
      <w:start w:val="1"/>
      <w:numFmt w:val="upperLetter"/>
      <w:lvlText w:val="%1."/>
      <w:lvlJc w:val="left"/>
      <w:pPr>
        <w:ind w:left="990" w:hanging="360"/>
      </w:pPr>
      <w:rPr>
        <w:rFonts w:hint="default"/>
      </w:rPr>
    </w:lvl>
    <w:lvl w:ilvl="1" w:tentative="0">
      <w:start w:val="1"/>
      <w:numFmt w:val="lowerLetter"/>
      <w:lvlText w:val="%2."/>
      <w:lvlJc w:val="left"/>
      <w:pPr>
        <w:ind w:left="1710" w:hanging="360"/>
      </w:pPr>
    </w:lvl>
    <w:lvl w:ilvl="2" w:tentative="0">
      <w:start w:val="1"/>
      <w:numFmt w:val="lowerRoman"/>
      <w:lvlText w:val="%3."/>
      <w:lvlJc w:val="right"/>
      <w:pPr>
        <w:ind w:left="2430" w:hanging="180"/>
      </w:pPr>
    </w:lvl>
    <w:lvl w:ilvl="3" w:tentative="0">
      <w:start w:val="1"/>
      <w:numFmt w:val="decimal"/>
      <w:lvlText w:val="%4."/>
      <w:lvlJc w:val="left"/>
      <w:pPr>
        <w:ind w:left="3150" w:hanging="360"/>
      </w:pPr>
    </w:lvl>
    <w:lvl w:ilvl="4" w:tentative="0">
      <w:start w:val="1"/>
      <w:numFmt w:val="lowerLetter"/>
      <w:lvlText w:val="%5."/>
      <w:lvlJc w:val="left"/>
      <w:pPr>
        <w:ind w:left="3870" w:hanging="360"/>
      </w:pPr>
    </w:lvl>
    <w:lvl w:ilvl="5" w:tentative="0">
      <w:start w:val="1"/>
      <w:numFmt w:val="lowerRoman"/>
      <w:lvlText w:val="%6."/>
      <w:lvlJc w:val="right"/>
      <w:pPr>
        <w:ind w:left="4590" w:hanging="180"/>
      </w:pPr>
    </w:lvl>
    <w:lvl w:ilvl="6" w:tentative="0">
      <w:start w:val="1"/>
      <w:numFmt w:val="decimal"/>
      <w:lvlText w:val="%7."/>
      <w:lvlJc w:val="left"/>
      <w:pPr>
        <w:ind w:left="5310" w:hanging="360"/>
      </w:pPr>
    </w:lvl>
    <w:lvl w:ilvl="7" w:tentative="0">
      <w:start w:val="1"/>
      <w:numFmt w:val="lowerLetter"/>
      <w:lvlText w:val="%8."/>
      <w:lvlJc w:val="left"/>
      <w:pPr>
        <w:ind w:left="6030" w:hanging="360"/>
      </w:pPr>
    </w:lvl>
    <w:lvl w:ilvl="8" w:tentative="0">
      <w:start w:val="1"/>
      <w:numFmt w:val="lowerRoman"/>
      <w:lvlText w:val="%9."/>
      <w:lvlJc w:val="right"/>
      <w:pPr>
        <w:ind w:left="6750" w:hanging="180"/>
      </w:pPr>
    </w:lvl>
  </w:abstractNum>
  <w:abstractNum w:abstractNumId="1">
    <w:nsid w:val="7BD578C4"/>
    <w:multiLevelType w:val="multilevel"/>
    <w:tmpl w:val="7BD578C4"/>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C4065E5"/>
    <w:multiLevelType w:val="multilevel"/>
    <w:tmpl w:val="7C4065E5"/>
    <w:lvl w:ilvl="0" w:tentative="0">
      <w:start w:val="1"/>
      <w:numFmt w:val="lowerRoman"/>
      <w:lvlText w:val="%1."/>
      <w:lvlJc w:val="righ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86A"/>
    <w:rsid w:val="00494844"/>
    <w:rsid w:val="00784720"/>
    <w:rsid w:val="007A3D6B"/>
    <w:rsid w:val="0088617C"/>
    <w:rsid w:val="00937435"/>
    <w:rsid w:val="00982DA7"/>
    <w:rsid w:val="00B8786A"/>
    <w:rsid w:val="089B57AE"/>
    <w:rsid w:val="5FF935A1"/>
    <w:rsid w:val="720454C2"/>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IN" w:bidi="te-IN"/>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16"/>
    <w:semiHidden/>
    <w:unhideWhenUsed/>
    <w:qFormat/>
    <w:uiPriority w:val="99"/>
    <w:rPr>
      <w:rFonts w:ascii="Segoe UI" w:hAnsi="Segoe UI" w:cs="Segoe UI"/>
      <w:sz w:val="18"/>
      <w:szCs w:val="18"/>
    </w:rPr>
  </w:style>
  <w:style w:type="paragraph" w:styleId="11">
    <w:name w:val="header"/>
    <w:basedOn w:val="1"/>
    <w:link w:val="18"/>
    <w:unhideWhenUsed/>
    <w:uiPriority w:val="99"/>
    <w:pPr>
      <w:tabs>
        <w:tab w:val="center" w:pos="4513"/>
        <w:tab w:val="right" w:pos="9026"/>
      </w:tabs>
    </w:p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style>
  <w:style w:type="paragraph" w:styleId="15">
    <w:name w:val="List Paragraph"/>
    <w:basedOn w:val="1"/>
    <w:link w:val="17"/>
    <w:qFormat/>
    <w:uiPriority w:val="0"/>
    <w:pPr>
      <w:ind w:left="720"/>
      <w:contextualSpacing/>
    </w:pPr>
  </w:style>
  <w:style w:type="character" w:customStyle="1" w:styleId="16">
    <w:name w:val="Balloon Text Char"/>
    <w:basedOn w:val="8"/>
    <w:link w:val="10"/>
    <w:semiHidden/>
    <w:qFormat/>
    <w:uiPriority w:val="99"/>
    <w:rPr>
      <w:rFonts w:ascii="Segoe UI" w:hAnsi="Segoe UI" w:cs="Segoe UI"/>
      <w:sz w:val="18"/>
      <w:szCs w:val="18"/>
    </w:rPr>
  </w:style>
  <w:style w:type="character" w:customStyle="1" w:styleId="17">
    <w:name w:val="List Paragraph Char"/>
    <w:link w:val="15"/>
    <w:qFormat/>
    <w:locked/>
    <w:uiPriority w:val="0"/>
  </w:style>
  <w:style w:type="character" w:customStyle="1" w:styleId="18">
    <w:name w:val="Header Char"/>
    <w:basedOn w:val="8"/>
    <w:link w:val="11"/>
    <w:qFormat/>
    <w:uiPriority w:val="99"/>
  </w:style>
  <w:style w:type="table" w:customStyle="1" w:styleId="19">
    <w:name w:val="_Style 18"/>
    <w:basedOn w:val="9"/>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MKI0FUBSoCjulN1+EDkvwrNFw==">CgMxLjAyCGguZ2pkZ3hzOAByMTBCM1RHREx1Q1AwckZiM1pVVVZkb1JEWlVVVGgyY1hFNFlWVnFkV1ZZWVZVeVkzQnI=</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2259</Words>
  <Characters>13025</Characters>
  <Lines>109</Lines>
  <Paragraphs>30</Paragraphs>
  <TotalTime>1</TotalTime>
  <ScaleCrop>false</ScaleCrop>
  <LinksUpToDate>false</LinksUpToDate>
  <CharactersWithSpaces>15246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2019-11-18T11:48:00Z</dcterms:created>
  <dc:creator>AMTZ</dc:creator>
  <cp:lastModifiedBy>naveen s</cp:lastModifiedBy>
  <dcterms:modified xsi:type="dcterms:W3CDTF">2026-08-25T12:52:52Z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eyJoZGlkIjoiZDUyZmMxNjdmNTA5NGQ1YWM1YzFjYjI2YjNiZDY1MTMiLCJ1c2VySWQiOiI1Njc0NDgzMTk3NjMifQ==</vt:lpwstr>
  </property>
  <property fmtid="{D5CDD505-2E9C-101B-9397-08002B2CF9AE}" pid="3" name="KSOProductBuildVer">
    <vt:lpwstr>1033-12.1.0.28032</vt:lpwstr>
  </property>
  <property fmtid="{D5CDD505-2E9C-101B-9397-08002B2CF9AE}" pid="4" name="ICV">
    <vt:lpwstr>964FEC0C613E4BC2B6C41187A2A38F35_13</vt:lpwstr>
  </property>
</Properties>
</file>