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19.</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14 explains why that distinction matters.</w:t>
      </w:r>
    </w:p>
    <w:p>
      <w:pPr>
        <w:pStyle w:val="ListBullet"/>
        <w:spacing w:after="80"/>
      </w:pPr>
      <w:r>
        <w:t>The remaining experiment of week 9, which switches the failure handling off to measure what it is worth, is predicted before it is run, and predicted to point the opposite way from the obvious reading: switching the handling off should make typical tracking better, 0.031 against 0.363 metres per second at the one-second outage the campaign uses. The handling is a safety mechanism, and it only repays its cost in the worst case. Section 18.</w:t>
      </w:r>
    </w:p>
    <w:p>
      <w:pPr>
        <w:pStyle w:val="Heading2"/>
      </w:pPr>
      <w:r>
        <w:t>The state of the hardware for this report</w:t>
      </w:r>
    </w:p>
    <w:p>
      <w:pPr>
        <w:spacing w:after="160"/>
      </w:pPr>
      <w:r>
        <w:rPr>
          <w:i w:val="0"/>
          <w:sz w:val="24"/>
        </w:rPr>
        <w:t>No development board was attached when this report was generated. Everything described as measured in it was measured on the board in earlier weeks and is unchanged. Nothing new was measured. The one section built from a simulation instead of from the board, section 18, says so in its heading, its opening paragraph, its figure caption and its table.</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8" name="Picture 8"/>
            <wp:cNvGraphicFramePr>
              <a:graphicFrameLocks noChangeAspect="1"/>
            </wp:cNvGraphicFramePr>
            <a:graphic>
              <a:graphicData uri="http://schemas.openxmlformats.org/drawingml/2006/picture">
                <pic:pic>
                  <pic:nvPicPr>
                    <pic:cNvPr id="0" name="g3-jitter.png"/>
                    <pic:cNvPicPr/>
                  </pic:nvPicPr>
                  <pic:blipFill>
                    <a:blip r:embed="rId16"/>
                    <a:stretch>
                      <a:fillRect/>
                    </a:stretch>
                  </pic:blipFill>
                  <pic:spPr>
                    <a:xfrm>
                      <a:off x="0" y="0"/>
                      <a:ext cx="5852160" cy="2048256"/>
                    </a:xfrm>
                    <a:prstGeom prst="rect"/>
                  </pic:spPr>
                </pic:pic>
              </a:graphicData>
            </a:graphic>
          </wp:inline>
        </w:drawing>
      </w:r>
    </w:p>
    <w:p>
      <w:pPr>
        <w:spacing w:after="240"/>
        <w:jc w:val="center"/>
      </w:pPr>
      <w:r>
        <w:rPr>
          <w:i/>
          <w:color w:val="595959"/>
          <w:sz w:val="18"/>
        </w:rPr>
        <w:t>Figure 8.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15.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9" name="Picture 9"/>
            <wp:cNvGraphicFramePr>
              <a:graphicFrameLocks noChangeAspect="1"/>
            </wp:cNvGraphicFramePr>
            <a:graphic>
              <a:graphicData uri="http://schemas.openxmlformats.org/drawingml/2006/picture">
                <pic:pic>
                  <pic:nvPicPr>
                    <pic:cNvPr id="0" name="week7-control.png"/>
                    <pic:cNvPicPr/>
                  </pic:nvPicPr>
                  <pic:blipFill>
                    <a:blip r:embed="rId17"/>
                    <a:stretch>
                      <a:fillRect/>
                    </a:stretch>
                  </pic:blipFill>
                  <pic:spPr>
                    <a:xfrm>
                      <a:off x="0" y="0"/>
                      <a:ext cx="5852160" cy="2239087"/>
                    </a:xfrm>
                    <a:prstGeom prst="rect"/>
                  </pic:spPr>
                </pic:pic>
              </a:graphicData>
            </a:graphic>
          </wp:inline>
        </w:drawing>
      </w:r>
    </w:p>
    <w:p>
      <w:pPr>
        <w:spacing w:after="240"/>
        <w:jc w:val="center"/>
      </w:pPr>
      <w:r>
        <w:rPr>
          <w:i/>
          <w:color w:val="595959"/>
          <w:sz w:val="18"/>
        </w:rPr>
        <w:t>Figure 9.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0" name="Picture 10"/>
            <wp:cNvGraphicFramePr>
              <a:graphicFrameLocks noChangeAspect="1"/>
            </wp:cNvGraphicFramePr>
            <a:graphic>
              <a:graphicData uri="http://schemas.openxmlformats.org/drawingml/2006/picture">
                <pic:pic>
                  <pic:nvPicPr>
                    <pic:cNvPr id="0" name="week7-pid-robustness.png"/>
                    <pic:cNvPicPr/>
                  </pic:nvPicPr>
                  <pic:blipFill>
                    <a:blip r:embed="rId18"/>
                    <a:stretch>
                      <a:fillRect/>
                    </a:stretch>
                  </pic:blipFill>
                  <pic:spPr>
                    <a:xfrm>
                      <a:off x="0" y="0"/>
                      <a:ext cx="5852160" cy="3080084"/>
                    </a:xfrm>
                    <a:prstGeom prst="rect"/>
                  </pic:spPr>
                </pic:pic>
              </a:graphicData>
            </a:graphic>
          </wp:inline>
        </w:drawing>
      </w:r>
    </w:p>
    <w:p>
      <w:pPr>
        <w:spacing w:after="240"/>
        <w:jc w:val="center"/>
      </w:pPr>
      <w:r>
        <w:rPr>
          <w:i/>
          <w:color w:val="595959"/>
          <w:sz w:val="18"/>
        </w:rPr>
        <w:t>Figure 10.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16.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17.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18, and the measurement itself is waiting on the board being attached.</w:t>
      </w:r>
    </w:p>
    <w:p>
      <w:pPr>
        <w:pStyle w:val="Heading1"/>
      </w:pPr>
      <w:r>
        <w:t>18. What the failure handling is worth, predicted</w:t>
      </w:r>
    </w:p>
    <w:p>
      <w:pPr>
        <w:spacing w:after="160"/>
      </w:pPr>
      <w:r>
        <w:rPr>
          <w:i/>
          <w:sz w:val="24"/>
        </w:rPr>
        <w:t>Nothing in this section was measured. No development board was attached when this report was generated, so the experiment described here was run as a simulation on the laptop. It is written down now, before the hardware run, so that the hardware result can be checked against a prediction that already existed rather than explained after the fact.</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1" name="Picture 11"/>
            <wp:cNvGraphicFramePr>
              <a:graphicFrameLocks noChangeAspect="1"/>
            </wp:cNvGraphicFramePr>
            <a:graphic>
              <a:graphicData uri="http://schemas.openxmlformats.org/drawingml/2006/picture">
                <pic:pic>
                  <pic:nvPicPr>
                    <pic:cNvPr id="0" name="week9-a4-prediction.png"/>
                    <pic:cNvPicPr/>
                  </pic:nvPicPr>
                  <pic:blipFill>
                    <a:blip r:embed="rId19"/>
                    <a:stretch>
                      <a:fillRect/>
                    </a:stretch>
                  </pic:blipFill>
                  <pic:spPr>
                    <a:xfrm>
                      <a:off x="0" y="0"/>
                      <a:ext cx="5852160" cy="2234461"/>
                    </a:xfrm>
                    <a:prstGeom prst="rect"/>
                  </pic:spPr>
                </pic:pic>
              </a:graphicData>
            </a:graphic>
          </wp:inline>
        </w:drawing>
      </w:r>
    </w:p>
    <w:p>
      <w:pPr>
        <w:spacing w:after="240"/>
        <w:jc w:val="center"/>
      </w:pPr>
      <w:r>
        <w:rPr>
          <w:i/>
          <w:color w:val="595959"/>
          <w:sz w:val="18"/>
        </w:rPr>
        <w:t>Figure 11.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19.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2" name="Picture 12"/>
            <wp:cNvGraphicFramePr>
              <a:graphicFrameLocks noChangeAspect="1"/>
            </wp:cNvGraphicFramePr>
            <a:graphic>
              <a:graphicData uri="http://schemas.openxmlformats.org/drawingml/2006/picture">
                <pic:pic>
                  <pic:nvPicPr>
                    <pic:cNvPr id="0" name="week8-sac.png"/>
                    <pic:cNvPicPr/>
                  </pic:nvPicPr>
                  <pic:blipFill>
                    <a:blip r:embed="rId20"/>
                    <a:stretch>
                      <a:fillRect/>
                    </a:stretch>
                  </pic:blipFill>
                  <pic:spPr>
                    <a:xfrm>
                      <a:off x="0" y="0"/>
                      <a:ext cx="5852160" cy="2239087"/>
                    </a:xfrm>
                    <a:prstGeom prst="rect"/>
                  </pic:spPr>
                </pic:pic>
              </a:graphicData>
            </a:graphic>
          </wp:inline>
        </w:drawing>
      </w:r>
    </w:p>
    <w:p>
      <w:pPr>
        <w:spacing w:after="240"/>
        <w:jc w:val="center"/>
      </w:pPr>
      <w:r>
        <w:rPr>
          <w:i/>
          <w:color w:val="595959"/>
          <w:sz w:val="18"/>
        </w:rPr>
        <w:t>Figure 12.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15's open question and is still the supervisor's to take.</w:t>
      </w:r>
    </w:p>
    <w:p>
      <w:pPr>
        <w:pStyle w:val="Heading1"/>
      </w:pPr>
      <w:r>
        <w:t>20.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21 records it.</w:t>
      </w:r>
    </w:p>
    <w:p>
      <w:pPr>
        <w:pStyle w:val="Heading1"/>
      </w:pPr>
      <w:r>
        <w:t>21.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19.</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15,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22.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23.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15</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15 is settled</w:t>
            </w:r>
          </w:p>
        </w:tc>
        <w:tc>
          <w:tcPr>
            <w:tcW w:type="dxa" w:w="3600"/>
          </w:tcPr>
          <w:p>
            <w:r/>
            <w:r>
              <w:rPr>
                <w:sz w:val="20"/>
              </w:rPr>
              <w:t>PARTLY DONE: ablation A4's firmware builds, its measurement script is written with its expectations fixed in advance, and its outcome is predicted in section 18.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15.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18.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24.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387 tests, all passing, including ones that drive the controller and the learned policy in C and in Python through identical inputs and require them to agree.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