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31 August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PASS, 6 of 7 trips</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11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It is reliably slightly worse, which is what week 7's offline optimum predicted. Section 16.</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12 explains why that distinction matters.</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4.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60"/>
      </w:pPr>
      <w:r>
        <w:rPr>
          <w:i w:val="0"/>
          <w:sz w:val="24"/>
        </w:rPr>
        <w:t>The one failure misses by 0.45 of a percentage point and is traceable to road-load differences between trips rather than to the physics. Gate G2 passes with that recorded.</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5.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6.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2" name="Picture 2"/>
            <wp:cNvGraphicFramePr>
              <a:graphicFrameLocks noChangeAspect="1"/>
            </wp:cNvGraphicFramePr>
            <a:graphic>
              <a:graphicData uri="http://schemas.openxmlformats.org/drawingml/2006/picture">
                <pic:pic>
                  <pic:nvPicPr>
                    <pic:cNvPr id="0" name="ved-generalisation.png"/>
                    <pic:cNvPicPr/>
                  </pic:nvPicPr>
                  <pic:blipFill>
                    <a:blip r:embed="rId10"/>
                    <a:stretch>
                      <a:fillRect/>
                    </a:stretch>
                  </pic:blipFill>
                  <pic:spPr>
                    <a:xfrm>
                      <a:off x="0" y="0"/>
                      <a:ext cx="5852160" cy="2006455"/>
                    </a:xfrm>
                    <a:prstGeom prst="rect"/>
                  </pic:spPr>
                </pic:pic>
              </a:graphicData>
            </a:graphic>
          </wp:inline>
        </w:drawing>
      </w:r>
    </w:p>
    <w:p>
      <w:pPr>
        <w:spacing w:after="240"/>
        <w:jc w:val="center"/>
      </w:pPr>
      <w:r>
        <w:rPr>
          <w:i/>
          <w:color w:val="595959"/>
          <w:sz w:val="18"/>
        </w:rPr>
        <w:t>Figure 2. Cross-vehicle transfer. Left: energy error by arm. Middle: charge error against the two-point criterion. Right: the temperature slope that no arm removes.</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7.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3" name="Picture 3"/>
            <wp:cNvGraphicFramePr>
              <a:graphicFrameLocks noChangeAspect="1"/>
            </wp:cNvGraphicFramePr>
            <a:graphic>
              <a:graphicData uri="http://schemas.openxmlformats.org/drawingml/2006/picture">
                <pic:pic>
                  <pic:nvPicPr>
                    <pic:cNvPr id="0" name="forecast-guards.png"/>
                    <pic:cNvPicPr/>
                  </pic:nvPicPr>
                  <pic:blipFill>
                    <a:blip r:embed="rId11"/>
                    <a:stretch>
                      <a:fillRect/>
                    </a:stretch>
                  </pic:blipFill>
                  <pic:spPr>
                    <a:xfrm>
                      <a:off x="0" y="0"/>
                      <a:ext cx="5852160" cy="1820672"/>
                    </a:xfrm>
                    <a:prstGeom prst="rect"/>
                  </pic:spPr>
                </pic:pic>
              </a:graphicData>
            </a:graphic>
          </wp:inline>
        </w:drawing>
      </w:r>
    </w:p>
    <w:p>
      <w:pPr>
        <w:spacing w:after="240"/>
        <w:jc w:val="center"/>
      </w:pPr>
      <w:r>
        <w:rPr>
          <w:i/>
          <w:color w:val="595959"/>
          <w:sz w:val="18"/>
        </w:rPr>
        <w:t>Figure 3. Baselines before any model was trained. Left: error grows with how far ahead the model looks. Middle: nothing survives three seconds intact. Right: a linear regression already clears the gate.</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8.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4" name="Picture 4"/>
            <wp:cNvGraphicFramePr>
              <a:graphicFrameLocks noChangeAspect="1"/>
            </wp:cNvGraphicFramePr>
            <a:graphic>
              <a:graphicData uri="http://schemas.openxmlformats.org/drawingml/2006/picture">
                <pic:pic>
                  <pic:nvPicPr>
                    <pic:cNvPr id="0" name="forecast-ladder.png"/>
                    <pic:cNvPicPr/>
                  </pic:nvPicPr>
                  <pic:blipFill>
                    <a:blip r:embed="rId12"/>
                    <a:stretch>
                      <a:fillRect/>
                    </a:stretch>
                  </pic:blipFill>
                  <pic:spPr>
                    <a:xfrm>
                      <a:off x="0" y="0"/>
                      <a:ext cx="5852160" cy="1365504"/>
                    </a:xfrm>
                    <a:prstGeom prst="rect"/>
                  </pic:spPr>
                </pic:pic>
              </a:graphicData>
            </a:graphic>
          </wp:inline>
        </w:drawing>
      </w:r>
    </w:p>
    <w:p>
      <w:pPr>
        <w:spacing w:after="240"/>
        <w:jc w:val="center"/>
      </w:pPr>
      <w:r>
        <w:rPr>
          <w:i/>
          <w:color w:val="595959"/>
          <w:sz w:val="18"/>
        </w:rPr>
        <w:t>Figure 4. The model comparison. Rightmost panel is where the deployment decision is made: accuracy against time on the chip, with the 40 millisecond budget marked. Crosses do not fit.</w:t>
      </w:r>
    </w:p>
    <w:p>
      <w:pPr>
        <w:jc w:val="center"/>
      </w:pPr>
      <w:r>
        <w:drawing>
          <wp:inline xmlns:a="http://schemas.openxmlformats.org/drawingml/2006/main" xmlns:pic="http://schemas.openxmlformats.org/drawingml/2006/picture">
            <wp:extent cx="5852160" cy="1365504"/>
            <wp:docPr id="5" name="Picture 5"/>
            <wp:cNvGraphicFramePr>
              <a:graphicFrameLocks noChangeAspect="1"/>
            </wp:cNvGraphicFramePr>
            <a:graphic>
              <a:graphicData uri="http://schemas.openxmlformats.org/drawingml/2006/picture">
                <pic:pic>
                  <pic:nvPicPr>
                    <pic:cNvPr id="0" name="transformer-a1.png"/>
                    <pic:cNvPicPr/>
                  </pic:nvPicPr>
                  <pic:blipFill>
                    <a:blip r:embed="rId13"/>
                    <a:stretch>
                      <a:fillRect/>
                    </a:stretch>
                  </pic:blipFill>
                  <pic:spPr>
                    <a:xfrm>
                      <a:off x="0" y="0"/>
                      <a:ext cx="5852160" cy="1365504"/>
                    </a:xfrm>
                    <a:prstGeom prst="rect"/>
                  </pic:spPr>
                </pic:pic>
              </a:graphicData>
            </a:graphic>
          </wp:inline>
        </w:drawing>
      </w:r>
    </w:p>
    <w:p>
      <w:pPr>
        <w:spacing w:after="240"/>
        <w:jc w:val="center"/>
      </w:pPr>
      <w:r>
        <w:rPr>
          <w:i/>
          <w:color w:val="595959"/>
          <w:sz w:val="18"/>
        </w:rPr>
        <w:t>Figure 5. Left: error against how far ahead the model predicts. Second: every model measured against the linear regression. Third: what the physics term bought. Right: how the residual weight trades accuracy against physical consistency.</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9.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10.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11.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12.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Round trip to the laptop, worst case</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6" name="Picture 6"/>
            <wp:cNvGraphicFramePr>
              <a:graphicFrameLocks noChangeAspect="1"/>
            </wp:cNvGraphicFramePr>
            <a:graphic>
              <a:graphicData uri="http://schemas.openxmlformats.org/drawingml/2006/picture">
                <pic:pic>
                  <pic:nvPicPr>
                    <pic:cNvPr id="0" name="g3-jitter.png"/>
                    <pic:cNvPicPr/>
                  </pic:nvPicPr>
                  <pic:blipFill>
                    <a:blip r:embed="rId14"/>
                    <a:stretch>
                      <a:fillRect/>
                    </a:stretch>
                  </pic:blipFill>
                  <pic:spPr>
                    <a:xfrm>
                      <a:off x="0" y="0"/>
                      <a:ext cx="5852160" cy="2048256"/>
                    </a:xfrm>
                    <a:prstGeom prst="rect"/>
                  </pic:spPr>
                </pic:pic>
              </a:graphicData>
            </a:graphic>
          </wp:inline>
        </w:drawing>
      </w:r>
    </w:p>
    <w:p>
      <w:pPr>
        <w:spacing w:after="240"/>
        <w:jc w:val="center"/>
      </w:pPr>
      <w:r>
        <w:rPr>
          <w:i/>
          <w:color w:val="595959"/>
          <w:sz w:val="18"/>
        </w:rPr>
        <w:t>Figure 6. Loop timing over ten minutes. Left: how many loops landed in each timing band, on a log scale. Right: the same data cumulatively, against the gate limit. Everything lands in the first two bands.</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 The worst measured round trip was 1766 microseconds.</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Worst round trip to the laptop</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round trip falls by a factor of 96, because the loop no longer waits for it.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Worst round trip to the laptop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13.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7" name="Picture 7"/>
            <wp:cNvGraphicFramePr>
              <a:graphicFrameLocks noChangeAspect="1"/>
            </wp:cNvGraphicFramePr>
            <a:graphic>
              <a:graphicData uri="http://schemas.openxmlformats.org/drawingml/2006/picture">
                <pic:pic>
                  <pic:nvPicPr>
                    <pic:cNvPr id="0" name="week7-control.png"/>
                    <pic:cNvPicPr/>
                  </pic:nvPicPr>
                  <pic:blipFill>
                    <a:blip r:embed="rId15"/>
                    <a:stretch>
                      <a:fillRect/>
                    </a:stretch>
                  </pic:blipFill>
                  <pic:spPr>
                    <a:xfrm>
                      <a:off x="0" y="0"/>
                      <a:ext cx="5852160" cy="2239087"/>
                    </a:xfrm>
                    <a:prstGeom prst="rect"/>
                  </pic:spPr>
                </pic:pic>
              </a:graphicData>
            </a:graphic>
          </wp:inline>
        </w:drawing>
      </w:r>
    </w:p>
    <w:p>
      <w:pPr>
        <w:spacing w:after="240"/>
        <w:jc w:val="center"/>
      </w:pPr>
      <w:r>
        <w:rPr>
          <w:i/>
          <w:color w:val="595959"/>
          <w:sz w:val="18"/>
        </w:rPr>
        <w:t>Figure 8. Left: consumption by controller on each cycle. Right: how far each controller sits from the theoretical best, on a log scale. Recovering braking energy is worth tens of percent; everything after that is worth hundredths.</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8" name="Picture 8"/>
            <wp:cNvGraphicFramePr>
              <a:graphicFrameLocks noChangeAspect="1"/>
            </wp:cNvGraphicFramePr>
            <a:graphic>
              <a:graphicData uri="http://schemas.openxmlformats.org/drawingml/2006/picture">
                <pic:pic>
                  <pic:nvPicPr>
                    <pic:cNvPr id="0" name="week7-pid-robustness.png"/>
                    <pic:cNvPicPr/>
                  </pic:nvPicPr>
                  <pic:blipFill>
                    <a:blip r:embed="rId16"/>
                    <a:stretch>
                      <a:fillRect/>
                    </a:stretch>
                  </pic:blipFill>
                  <pic:spPr>
                    <a:xfrm>
                      <a:off x="0" y="0"/>
                      <a:ext cx="5852160" cy="3080084"/>
                    </a:xfrm>
                    <a:prstGeom prst="rect"/>
                  </pic:spPr>
                </pic:pic>
              </a:graphicData>
            </a:graphic>
          </wp:inline>
        </w:drawing>
      </w:r>
    </w:p>
    <w:p>
      <w:pPr>
        <w:spacing w:after="240"/>
        <w:jc w:val="center"/>
      </w:pPr>
      <w:r>
        <w:rPr>
          <w:i/>
          <w:color w:val="595959"/>
          <w:sz w:val="18"/>
        </w:rPr>
        <w:t>Figure 9. Speed-tracking error under model error and disturbance, log scale. The clean run at the bottom is the least informative bar in the chart.</w:t>
      </w:r>
    </w:p>
    <w:p>
      <w:pPr>
        <w:pStyle w:val="Heading1"/>
      </w:pPr>
      <w:r>
        <w:t>14.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15.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will be a rebuild rather than a reconstruction.</w:t>
      </w:r>
    </w:p>
    <w:p>
      <w:pPr>
        <w:pStyle w:val="Heading1"/>
      </w:pPr>
      <w:r>
        <w:t>16.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9" name="Picture 9"/>
            <wp:cNvGraphicFramePr>
              <a:graphicFrameLocks noChangeAspect="1"/>
            </wp:cNvGraphicFramePr>
            <a:graphic>
              <a:graphicData uri="http://schemas.openxmlformats.org/drawingml/2006/picture">
                <pic:pic>
                  <pic:nvPicPr>
                    <pic:cNvPr id="0" name="week8-sac.png"/>
                    <pic:cNvPicPr/>
                  </pic:nvPicPr>
                  <pic:blipFill>
                    <a:blip r:embed="rId17"/>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five training runs per arm, each evaluated on complete cycles, against the conventional controller and the offline optimum. Right: where the ten runs finished, with 95% intervals.</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13's open question and is still the supervisor's to take.</w:t>
      </w:r>
    </w:p>
    <w:p>
      <w:pPr>
        <w:pStyle w:val="Heading1"/>
      </w:pPr>
      <w:r>
        <w:t>17.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11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18 records it.</w:t>
      </w:r>
    </w:p>
    <w:p>
      <w:pPr>
        <w:pStyle w:val="Heading1"/>
      </w:pPr>
      <w:r>
        <w:t>18.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16.</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13,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19.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Still to do: distil to a smaller student model</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13</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Tune the reward function</w:t>
            </w:r>
          </w:p>
        </w:tc>
        <w:tc>
          <w:tcPr>
            <w:tcW w:type="dxa" w:w="3600"/>
          </w:tcPr>
          <w:p>
            <w:r/>
            <w:r>
              <w:rPr>
                <w:sz w:val="20"/>
              </w:rPr>
              <w:t>Full system on the chip; ablation A4</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carry real risk</w:t>
      </w:r>
    </w:p>
    <w:p>
      <w:pPr>
        <w:pStyle w:val="ListBullet"/>
        <w:spacing w:after="80"/>
      </w:pPr>
      <w:r>
        <w:t>A3 asks whether the forecast actually improves control. If removing it changes nothing, the entire prediction stack is decorative on the chip and the paper will say so. That is a publishable finding about preview horizons in embedded energy management, and it would free the memory for other uses. It is planned and it will be run.</w:t>
      </w:r>
    </w:p>
    <w:p>
      <w:pPr>
        <w:pStyle w:val="ListBullet"/>
        <w:spacing w:after="80"/>
      </w:pPr>
      <w:r>
        <w:t>Reinforcement learning is the identified skill gap and it is genuinely temperamental. A full ramp-up week is scheduled before the real training. If it does not converge, the conventional controller and the offline optimum are guaranteed working comparisons, so the paper survives.</w:t>
      </w:r>
    </w:p>
    <w:p>
      <w:pPr>
        <w:pStyle w:val="Heading2"/>
      </w:pPr>
      <w:r>
        <w:t>Decisions waiting on a gate or on the supervisor</w:t>
      </w:r>
    </w:p>
    <w:p>
      <w:pPr>
        <w:pStyle w:val="ListBullet"/>
        <w:spacing w:after="80"/>
      </w:pPr>
      <w:r>
        <w:t>What to do about the missing headroom in the energy-management problem, described in section 13. This is the one that should be settled first, because weeks 8 and 9 are built on top of it.</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Which model to deploy. The Transformer is the most accurate and fits. The linear regression reaches 87% of the benefit for 1.2% of the cost. Ablation A3 decides whether the difference matters to the controller.</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Heading1"/>
      </w:pPr>
      <w:r>
        <w:t>20.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the firmware</w:t>
            </w:r>
          </w:p>
        </w:tc>
        <w:tc>
          <w:tcPr>
            <w:tcW w:type="dxa" w:w="5760"/>
          </w:tcPr>
          <w:p>
            <w:r/>
            <w:r>
              <w:rPr>
                <w:sz w:val="20"/>
              </w:rPr>
              <w:t>./scripts/idf.sh build</w:t>
            </w:r>
          </w:p>
        </w:tc>
      </w:tr>
      <w:tr>
        <w:tc>
          <w:tcPr>
            <w:tcW w:type="dxa" w:w="3456"/>
          </w:tcPr>
          <w:p>
            <w:r/>
            <w:r>
              <w:rPr>
                <w:sz w:val="20"/>
              </w:rPr>
              <w:t>Fault-injection build</w:t>
            </w:r>
          </w:p>
        </w:tc>
        <w:tc>
          <w:tcPr>
            <w:tcW w:type="dxa" w:w="5760"/>
          </w:tcPr>
          <w:p>
            <w:r/>
            <w:r>
              <w:rPr>
                <w:sz w:val="20"/>
              </w:rPr>
              <w:t>./scripts/idf.sh -DFAULT_INJECT=1 build &amp;&amp; ./scripts/idf.sh flash</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387 tests, all passing, including ones that drive the controller and the learned policy in C and in Python through identical inputs and require them to agree.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