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31 August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and measured evidence that it fits inside the microcontroller's compute budget. It has also produced four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6 host stalls in 59,650 loops fail the zero-drop rule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not yet run</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On hardware, 59,650 control loops ran over ten minutes with 99.997% of them inside 25 microseconds of their slot, against a limit of 1000. The link lost nothing.</w:t>
      </w:r>
    </w:p>
    <w:p>
      <w:pPr>
        <w:pStyle w:val="ListBullet"/>
        <w:spacing w:after="80"/>
      </w:pPr>
      <w:r>
        <w:t>Gate G3 still fails, on six occasions where the laptop did not answer in time. The microcontroller met every deadline. Section 11 explains why that distinction matters and what it changes.</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4.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5.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6.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2" name="Picture 2"/>
            <wp:cNvGraphicFramePr>
              <a:graphicFrameLocks noChangeAspect="1"/>
            </wp:cNvGraphicFramePr>
            <a:graphic>
              <a:graphicData uri="http://schemas.openxmlformats.org/drawingml/2006/picture">
                <pic:pic>
                  <pic:nvPicPr>
                    <pic:cNvPr id="0" name="ved-generalisation.png"/>
                    <pic:cNvPicPr/>
                  </pic:nvPicPr>
                  <pic:blipFill>
                    <a:blip r:embed="rId10"/>
                    <a:stretch>
                      <a:fillRect/>
                    </a:stretch>
                  </pic:blipFill>
                  <pic:spPr>
                    <a:xfrm>
                      <a:off x="0" y="0"/>
                      <a:ext cx="5852160" cy="2006455"/>
                    </a:xfrm>
                    <a:prstGeom prst="rect"/>
                  </pic:spPr>
                </pic:pic>
              </a:graphicData>
            </a:graphic>
          </wp:inline>
        </w:drawing>
      </w:r>
    </w:p>
    <w:p>
      <w:pPr>
        <w:spacing w:after="240"/>
        <w:jc w:val="center"/>
      </w:pPr>
      <w:r>
        <w:rPr>
          <w:i/>
          <w:color w:val="595959"/>
          <w:sz w:val="18"/>
        </w:rPr>
        <w:t>Figure 2. Cross-vehicle transfer. Left: energy error by arm. Middle: charge error against the two-point criterion. Right: the temperature slope that no arm removes.</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7.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3" name="Picture 3"/>
            <wp:cNvGraphicFramePr>
              <a:graphicFrameLocks noChangeAspect="1"/>
            </wp:cNvGraphicFramePr>
            <a:graphic>
              <a:graphicData uri="http://schemas.openxmlformats.org/drawingml/2006/picture">
                <pic:pic>
                  <pic:nvPicPr>
                    <pic:cNvPr id="0" name="forecast-guards.png"/>
                    <pic:cNvPicPr/>
                  </pic:nvPicPr>
                  <pic:blipFill>
                    <a:blip r:embed="rId11"/>
                    <a:stretch>
                      <a:fillRect/>
                    </a:stretch>
                  </pic:blipFill>
                  <pic:spPr>
                    <a:xfrm>
                      <a:off x="0" y="0"/>
                      <a:ext cx="5852160" cy="1820672"/>
                    </a:xfrm>
                    <a:prstGeom prst="rect"/>
                  </pic:spPr>
                </pic:pic>
              </a:graphicData>
            </a:graphic>
          </wp:inline>
        </w:drawing>
      </w:r>
    </w:p>
    <w:p>
      <w:pPr>
        <w:spacing w:after="240"/>
        <w:jc w:val="center"/>
      </w:pPr>
      <w:r>
        <w:rPr>
          <w:i/>
          <w:color w:val="595959"/>
          <w:sz w:val="18"/>
        </w:rPr>
        <w:t>Figure 3. Baselines before any model was trained. Left: error grows with how far ahead the model looks. Middle: nothing survives three seconds intact. Right: a linear regression already clears the gate.</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8.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4" name="Picture 4"/>
            <wp:cNvGraphicFramePr>
              <a:graphicFrameLocks noChangeAspect="1"/>
            </wp:cNvGraphicFramePr>
            <a:graphic>
              <a:graphicData uri="http://schemas.openxmlformats.org/drawingml/2006/picture">
                <pic:pic>
                  <pic:nvPicPr>
                    <pic:cNvPr id="0" name="forecast-ladder.png"/>
                    <pic:cNvPicPr/>
                  </pic:nvPicPr>
                  <pic:blipFill>
                    <a:blip r:embed="rId12"/>
                    <a:stretch>
                      <a:fillRect/>
                    </a:stretch>
                  </pic:blipFill>
                  <pic:spPr>
                    <a:xfrm>
                      <a:off x="0" y="0"/>
                      <a:ext cx="5852160" cy="1365504"/>
                    </a:xfrm>
                    <a:prstGeom prst="rect"/>
                  </pic:spPr>
                </pic:pic>
              </a:graphicData>
            </a:graphic>
          </wp:inline>
        </w:drawing>
      </w:r>
    </w:p>
    <w:p>
      <w:pPr>
        <w:spacing w:after="240"/>
        <w:jc w:val="center"/>
      </w:pPr>
      <w:r>
        <w:rPr>
          <w:i/>
          <w:color w:val="595959"/>
          <w:sz w:val="18"/>
        </w:rPr>
        <w:t>Figure 4. The model comparison. Rightmost panel is where the deployment decision is made: accuracy against time on the chip, with the 40 millisecond budget marked. Crosses do not fit.</w:t>
      </w:r>
    </w:p>
    <w:p>
      <w:pPr>
        <w:jc w:val="center"/>
      </w:pPr>
      <w:r>
        <w:drawing>
          <wp:inline xmlns:a="http://schemas.openxmlformats.org/drawingml/2006/main" xmlns:pic="http://schemas.openxmlformats.org/drawingml/2006/picture">
            <wp:extent cx="5852160" cy="1365504"/>
            <wp:docPr id="5" name="Picture 5"/>
            <wp:cNvGraphicFramePr>
              <a:graphicFrameLocks noChangeAspect="1"/>
            </wp:cNvGraphicFramePr>
            <a:graphic>
              <a:graphicData uri="http://schemas.openxmlformats.org/drawingml/2006/picture">
                <pic:pic>
                  <pic:nvPicPr>
                    <pic:cNvPr id="0" name="transformer-a1.png"/>
                    <pic:cNvPicPr/>
                  </pic:nvPicPr>
                  <pic:blipFill>
                    <a:blip r:embed="rId13"/>
                    <a:stretch>
                      <a:fillRect/>
                    </a:stretch>
                  </pic:blipFill>
                  <pic:spPr>
                    <a:xfrm>
                      <a:off x="0" y="0"/>
                      <a:ext cx="5852160" cy="1365504"/>
                    </a:xfrm>
                    <a:prstGeom prst="rect"/>
                  </pic:spPr>
                </pic:pic>
              </a:graphicData>
            </a:graphic>
          </wp:inline>
        </w:drawing>
      </w:r>
    </w:p>
    <w:p>
      <w:pPr>
        <w:spacing w:after="240"/>
        <w:jc w:val="center"/>
      </w:pPr>
      <w:r>
        <w:rPr>
          <w:i/>
          <w:color w:val="595959"/>
          <w:sz w:val="18"/>
        </w:rPr>
        <w:t>Figure 5. Left: error against how far ahead the model predicts. Second: every model measured against the linear regression. Third: what the physics term bought. Right: how the residual weight trades accuracy against physical consistency.</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9.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10.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11.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126 to 14001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16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7405 us</w:t>
            </w:r>
          </w:p>
        </w:tc>
        <w:tc>
          <w:tcPr>
            <w:tcW w:type="dxa" w:w="2016"/>
          </w:tcPr>
          <w:p>
            <w:r/>
            <w:r>
              <w:rPr>
                <w:sz w:val="20"/>
              </w:rPr>
              <w:t>-</w:t>
            </w:r>
          </w:p>
        </w:tc>
      </w:tr>
      <w:tr>
        <w:tc>
          <w:tcPr>
            <w:tcW w:type="dxa" w:w="3456"/>
          </w:tcPr>
          <w:p>
            <w:r/>
            <w:r>
              <w:rPr>
                <w:sz w:val="20"/>
              </w:rPr>
              <w:t>Frames lost</w:t>
            </w:r>
          </w:p>
        </w:tc>
        <w:tc>
          <w:tcPr>
            <w:tcW w:type="dxa" w:w="2736"/>
          </w:tcPr>
          <w:p>
            <w:r/>
            <w:r>
              <w:rPr>
                <w:sz w:val="20"/>
              </w:rPr>
              <w:t>6</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6" name="Picture 6"/>
            <wp:cNvGraphicFramePr>
              <a:graphicFrameLocks noChangeAspect="1"/>
            </wp:cNvGraphicFramePr>
            <a:graphic>
              <a:graphicData uri="http://schemas.openxmlformats.org/drawingml/2006/picture">
                <pic:pic>
                  <pic:nvPicPr>
                    <pic:cNvPr id="0" name="g3-jitter.png"/>
                    <pic:cNvPicPr/>
                  </pic:nvPicPr>
                  <pic:blipFill>
                    <a:blip r:embed="rId14"/>
                    <a:stretch>
                      <a:fillRect/>
                    </a:stretch>
                  </pic:blipFill>
                  <pic:spPr>
                    <a:xfrm>
                      <a:off x="0" y="0"/>
                      <a:ext cx="5852160" cy="2048256"/>
                    </a:xfrm>
                    <a:prstGeom prst="rect"/>
                  </pic:spPr>
                </pic:pic>
              </a:graphicData>
            </a:graphic>
          </wp:inline>
        </w:drawing>
      </w:r>
    </w:p>
    <w:p>
      <w:pPr>
        <w:spacing w:after="240"/>
        <w:jc w:val="center"/>
      </w:pPr>
      <w:r>
        <w:rPr>
          <w:i/>
          <w:color w:val="595959"/>
          <w:sz w:val="18"/>
        </w:rPr>
        <w:t>Figure 6. Loop timing over ten minutes. Left: how many loops landed in each timing band, on a log scale. Right: the same data cumulatively, against the gate limit. Everything lands in the first two bands.</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 in 121,255 frames received.</w:t>
      </w:r>
    </w:p>
    <w:p>
      <w:pPr>
        <w:pStyle w:val="ListBullet"/>
        <w:spacing w:after="80"/>
      </w:pPr>
      <w:r>
        <w:t>The microcontroller met every deadline. Its control computation runs in 16 microseconds inside a 10,000 microsecond slot, and no loop drifted by more than 50 microseconds.</w:t>
      </w:r>
    </w:p>
    <w:p>
      <w:pPr>
        <w:pStyle w:val="ListBullet"/>
        <w:spacing w:after="80"/>
      </w:pPr>
      <w:r>
        <w:t>What missed, six times, was the laptop replying inside the 9 millisecond window the firmware waits. The worst measured round trip was 7,405 microseconds, so the laptop runs close to that limit routinely.</w:t>
      </w:r>
    </w:p>
    <w:p>
      <w:pPr>
        <w:spacing w:after="160"/>
      </w:pPr>
      <w:r>
        <w:rPr>
          <w:i w:val="0"/>
          <w:sz w:val="24"/>
        </w:rPr>
        <w:t>The six are not spread out. None for the first eight minutes, then six inside one. That is macOS doing something else, not a steady overload.</w:t>
      </w:r>
    </w:p>
    <w:p>
      <w:pPr>
        <w:pStyle w:val="Heading2"/>
      </w:pPr>
      <w:r>
        <w:t>What this says about the design</w:t>
      </w:r>
    </w:p>
    <w:p>
      <w:pPr>
        <w:spacing w:after="160"/>
      </w:pPr>
      <w:r>
        <w:rPr>
          <w:i w:val="0"/>
          <w:sz w:val="24"/>
        </w:rPr>
        <w:t>The firmware sends a request and waits for the reply inside the same ten-millisecond slot. That ties its deadline to the scheduling behaviour of a general-purpose operating system. The design already anticipated that the laptop's timing could not be trusted and made the microcontroller the timekeeper, which is why the jitter figure is 25 microseconds. That protects the measurement. It does not decouple the loop.</w:t>
      </w:r>
    </w:p>
    <w:p>
      <w:pPr>
        <w:spacing w:after="160"/>
      </w:pPr>
      <w:r>
        <w:rPr>
          <w:i w:val="0"/>
          <w:sz w:val="24"/>
        </w:rPr>
        <w:t>The fix that matches the diagnosis is to stop waiting: the control task would use the most recent state it holds, marked as stale when no fresh one arrived. That is also what a real controller does when a sensor misses an update, and it is already the subject of one of the project's own claims. The planned experiment A4 compares deadline-miss handling switched on against off, and a test rig that never missed a deadline would leave it nothing to measure. Six misses in 59,650 loops is a measured rate to design against.</w:t>
      </w:r>
    </w:p>
    <w:p>
      <w:pPr>
        <w:spacing w:after="160"/>
      </w:pPr>
      <w:r>
        <w:rPr>
          <w:i w:val="0"/>
          <w:sz w:val="24"/>
        </w:rPr>
        <w:t>The criterion has not been loosened to fit the result. One revision of one criterion was permitted in the design document, it was used at gate G2 with the reason recorded, and it is spent. G3 stays as written until the fix is built and the run repeated in week 7.</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12. Results that went against expectation</w:t>
      </w:r>
    </w:p>
    <w:p>
      <w:pPr>
        <w:spacing w:after="160"/>
      </w:pPr>
      <w:r>
        <w:rPr>
          <w:i w:val="0"/>
          <w:sz w:val="24"/>
        </w:rPr>
        <w:t>Four of these. Each one is reported because each one changes what the paper may claim, and a supervisor reading the work will find them more convincing than the successes.</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13.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Shrink the model to 8-bit numbers and measure what accuracy that costs (ablation A2)</w:t>
            </w:r>
          </w:p>
        </w:tc>
        <w:tc>
          <w:tcPr>
            <w:tcW w:type="dxa" w:w="3600"/>
          </w:tcPr>
          <w:p>
            <w:r/>
            <w:r>
              <w:rPr>
                <w:sz w:val="20"/>
              </w:rPr>
              <w:t>Program the forecaster onto the chip and measure its real time, memory and energy use</w:t>
            </w:r>
          </w:p>
        </w:tc>
        <w:tc>
          <w:tcPr>
            <w:tcW w:type="dxa" w:w="720"/>
          </w:tcPr>
          <w:p>
            <w:r/>
            <w:r>
              <w:rPr>
                <w:sz w:val="20"/>
              </w:rPr>
              <w:t>G5</w:t>
            </w:r>
          </w:p>
        </w:tc>
      </w:tr>
      <w:tr>
        <w:tc>
          <w:tcPr>
            <w:tcW w:type="dxa" w:w="720"/>
          </w:tcPr>
          <w:p>
            <w:r/>
            <w:r>
              <w:rPr>
                <w:sz w:val="20"/>
              </w:rPr>
              <w:t>7</w:t>
            </w:r>
          </w:p>
        </w:tc>
        <w:tc>
          <w:tcPr>
            <w:tcW w:type="dxa" w:w="3600"/>
          </w:tcPr>
          <w:p>
            <w:r/>
            <w:r>
              <w:rPr>
                <w:sz w:val="20"/>
              </w:rPr>
              <w:t>Compute the theoretically optimal energy strategy offline; build the conventional controller to compare against</w:t>
            </w:r>
          </w:p>
        </w:tc>
        <w:tc>
          <w:tcPr>
            <w:tcW w:type="dxa" w:w="3600"/>
          </w:tcPr>
          <w:p>
            <w:r/>
            <w:r>
              <w:rPr>
                <w:sz w:val="20"/>
              </w:rPr>
              <w:t>Watchdog and fallback path for a missed deadline</w:t>
            </w:r>
          </w:p>
        </w:tc>
        <w:tc>
          <w:tcPr>
            <w:tcW w:type="dxa" w:w="720"/>
          </w:tcPr>
          <w:p>
            <w:r/>
            <w:r>
              <w:rPr>
                <w:sz w:val="20"/>
              </w:rPr>
              <w:t>-</w:t>
            </w:r>
          </w:p>
        </w:tc>
      </w:tr>
      <w:tr>
        <w:tc>
          <w:tcPr>
            <w:tcW w:type="dxa" w:w="720"/>
          </w:tcPr>
          <w:p>
            <w:r/>
            <w:r>
              <w:rPr>
                <w:sz w:val="20"/>
              </w:rPr>
              <w:t>8</w:t>
            </w:r>
          </w:p>
        </w:tc>
        <w:tc>
          <w:tcPr>
            <w:tcW w:type="dxa" w:w="3600"/>
          </w:tcPr>
          <w:p>
            <w:r/>
            <w:r>
              <w:rPr>
                <w:sz w:val="20"/>
              </w:rPr>
              <w:t>Train the reinforcement-learning controller, five random starts; run ablation A3</w:t>
            </w:r>
          </w:p>
        </w:tc>
        <w:tc>
          <w:tcPr>
            <w:tcW w:type="dxa" w:w="3600"/>
          </w:tcPr>
          <w:p>
            <w:r/>
            <w:r>
              <w:rPr>
                <w:sz w:val="20"/>
              </w:rPr>
              <w:t>Export the trained controller and verify it on the chip</w:t>
            </w:r>
          </w:p>
        </w:tc>
        <w:tc>
          <w:tcPr>
            <w:tcW w:type="dxa" w:w="720"/>
          </w:tcPr>
          <w:p>
            <w:r/>
            <w:r>
              <w:rPr>
                <w:sz w:val="20"/>
              </w:rPr>
              <w:t>-</w:t>
            </w:r>
          </w:p>
        </w:tc>
      </w:tr>
      <w:tr>
        <w:tc>
          <w:tcPr>
            <w:tcW w:type="dxa" w:w="720"/>
          </w:tcPr>
          <w:p>
            <w:r/>
            <w:r>
              <w:rPr>
                <w:sz w:val="20"/>
              </w:rPr>
              <w:t>9</w:t>
            </w:r>
          </w:p>
        </w:tc>
        <w:tc>
          <w:tcPr>
            <w:tcW w:type="dxa" w:w="3600"/>
          </w:tcPr>
          <w:p>
            <w:r/>
            <w:r>
              <w:rPr>
                <w:sz w:val="20"/>
              </w:rPr>
              <w:t>Tune the reward function</w:t>
            </w:r>
          </w:p>
        </w:tc>
        <w:tc>
          <w:tcPr>
            <w:tcW w:type="dxa" w:w="3600"/>
          </w:tcPr>
          <w:p>
            <w:r/>
            <w:r>
              <w:rPr>
                <w:sz w:val="20"/>
              </w:rPr>
              <w:t>Full system on the chip; ablation A4</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1"/>
      </w:pPr>
      <w:r>
        <w:t>14.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test suite runs with python3 -m pytest and currently holds 287 tests, all passing.</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