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That measurement was taken on the highway cycle, and the processor-in-the-loop campaign in section 26 finds the opposite on the aggressive cycle that was sealed for testing. Read the two together; neither on its own is the whole answer.</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28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one to five seconds. Blue is the shipped firmware, orange has the handling removed. The lines only join the measured points; nothing between them was measured. The figure predates the 0.2, 0.5 and 10 second rows and does not show them; the table above is the complete sweep.</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The same campaign, run again on instrumented firmware</w:t>
      </w:r>
    </w:p>
    <w:p>
      <w:pPr>
        <w:spacing w:after="160"/>
      </w:pPr>
      <w:r>
        <w:rPr>
          <w:i w:val="0"/>
          <w:sz w:val="24"/>
        </w:rPr>
        <w:t>The previous section reports one run per setting, and its explanation for the energy result rests on a quantity that was not being recorded when those runs were taken. Both of those are weaknesses that a second campaign can remove, so the whole thing was run again after adding the missing measurement to the firmware.</w:t>
      </w:r>
    </w:p>
    <w:p>
      <w:pPr>
        <w:spacing w:after="160"/>
      </w:pPr>
      <w:r>
        <w:rPr>
          <w:i w:val="0"/>
          <w:sz w:val="24"/>
        </w:rPr>
        <w:t>Note what that means for comparing the two. The repeat runs on a build that differs from the first by these counters. Inside each campaign the comparison between the two controllers is clean, because both of its arms share one image. Across the two campaigns the firmware is not identical, so they are shown side by side and never pooled.</w:t>
      </w:r>
    </w:p>
    <w:p>
      <w:pPr>
        <w:pStyle w:val="Heading2"/>
      </w:pPr>
      <w:r>
        <w:t>Does it reproduce?</w:t>
      </w:r>
    </w:p>
    <w:p>
      <w:pPr>
        <w:spacing w:after="160"/>
      </w:pPr>
      <w:r>
        <w:rPr>
          <w:i w:val="0"/>
          <w:sz w:val="24"/>
        </w:rPr>
        <w:t>Across the 32 settings where both campaigns tracked the cycle, the energy figures agree to 0.18 per cent on average and 0.71 per cent at worst, the worst being sensor noise at the severe setting for the learned controller. The campaigns ran hours apart, on separately flashed images, with the board reset between every run.</w:t>
      </w:r>
    </w:p>
    <w:p>
      <w:pPr>
        <w:spacing w:after="160"/>
      </w:pPr>
      <w:r>
        <w:rPr>
          <w:i w:val="0"/>
          <w:sz w:val="24"/>
        </w:rPr>
        <w:t>The direction of the headline result is unchanged. In the repeat the learned controller uses less energy than the rules in 14 of the 16 settings, against 14 in the first campaign. Two independent campaigns is not many, and neither is one run per cell within each, but the result is no longer a single measurement.</w:t>
      </w:r>
    </w:p>
    <w:p>
      <w:pPr>
        <w:pStyle w:val="Heading2"/>
      </w:pPr>
      <w:r>
        <w:t>The power ceiling, measured rather than inferred</w:t>
      </w:r>
    </w:p>
    <w:p>
      <w:pPr>
        <w:spacing w:after="160"/>
      </w:pPr>
      <w:r>
        <w:rPr>
          <w:i w:val="0"/>
          <w:sz w:val="24"/>
        </w:rPr>
        <w:t>The previous section attributes the energy saving to the discharge power ceiling, and could only infer it from the current that follows from it. The firmware now records the ceiling it applies. This is what it applied.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Controller</w:t>
            </w:r>
          </w:p>
        </w:tc>
        <w:tc>
          <w:tcPr>
            <w:tcW w:type="dxa" w:w="2412"/>
          </w:tcPr>
          <w:p>
            <w:r/>
            <w:r>
              <w:rPr>
                <w:b/>
                <w:sz w:val="20"/>
              </w:rPr>
              <w:t>Lowest, kW</w:t>
            </w:r>
          </w:p>
        </w:tc>
        <w:tc>
          <w:tcPr>
            <w:tcW w:type="dxa" w:w="2412"/>
          </w:tcPr>
          <w:p>
            <w:r/>
            <w:r>
              <w:rPr>
                <w:b/>
                <w:sz w:val="20"/>
              </w:rPr>
              <w:t>Average, kW</w:t>
            </w:r>
          </w:p>
        </w:tc>
        <w:tc>
          <w:tcPr>
            <w:tcW w:type="dxa" w:w="2412"/>
          </w:tcPr>
          <w:p>
            <w:r/>
            <w:r>
              <w:rPr>
                <w:b/>
                <w:sz w:val="20"/>
              </w:rPr>
              <w:t>Highest, kW</w:t>
            </w:r>
          </w:p>
        </w:tc>
      </w:tr>
      <w:tr>
        <w:tc>
          <w:tcPr>
            <w:tcW w:type="dxa" w:w="2412"/>
          </w:tcPr>
          <w:p>
            <w:r/>
            <w:r>
              <w:rPr>
                <w:sz w:val="20"/>
              </w:rPr>
              <w:t>Rules</w:t>
            </w:r>
          </w:p>
        </w:tc>
        <w:tc>
          <w:tcPr>
            <w:tcW w:type="dxa" w:w="2412"/>
          </w:tcPr>
          <w:p>
            <w:r/>
            <w:r>
              <w:rPr>
                <w:sz w:val="20"/>
              </w:rPr>
              <w:t>40</w:t>
            </w:r>
          </w:p>
        </w:tc>
        <w:tc>
          <w:tcPr>
            <w:tcW w:type="dxa" w:w="2412"/>
          </w:tcPr>
          <w:p>
            <w:r/>
            <w:r>
              <w:rPr>
                <w:sz w:val="20"/>
              </w:rPr>
              <w:t>123</w:t>
            </w:r>
          </w:p>
        </w:tc>
        <w:tc>
          <w:tcPr>
            <w:tcW w:type="dxa" w:w="2412"/>
          </w:tcPr>
          <w:p>
            <w:r/>
            <w:r>
              <w:rPr>
                <w:sz w:val="20"/>
              </w:rPr>
              <w:t>125</w:t>
            </w:r>
          </w:p>
        </w:tc>
      </w:tr>
      <w:tr>
        <w:tc>
          <w:tcPr>
            <w:tcW w:type="dxa" w:w="2412"/>
          </w:tcPr>
          <w:p>
            <w:r/>
            <w:r>
              <w:rPr>
                <w:sz w:val="20"/>
              </w:rPr>
              <w:t>Learned</w:t>
            </w:r>
          </w:p>
        </w:tc>
        <w:tc>
          <w:tcPr>
            <w:tcW w:type="dxa" w:w="2412"/>
          </w:tcPr>
          <w:p>
            <w:r/>
            <w:r>
              <w:rPr>
                <w:sz w:val="20"/>
              </w:rPr>
              <w:t>40</w:t>
            </w:r>
          </w:p>
        </w:tc>
        <w:tc>
          <w:tcPr>
            <w:tcW w:type="dxa" w:w="2412"/>
          </w:tcPr>
          <w:p>
            <w:r/>
            <w:r>
              <w:rPr>
                <w:sz w:val="20"/>
              </w:rPr>
              <w:t>72</w:t>
            </w:r>
          </w:p>
        </w:tc>
        <w:tc>
          <w:tcPr>
            <w:tcW w:type="dxa" w:w="2412"/>
          </w:tcPr>
          <w:p>
            <w:r/>
            <w:r>
              <w:rPr>
                <w:sz w:val="20"/>
              </w:rPr>
              <w:t>125</w:t>
            </w:r>
          </w:p>
        </w:tc>
      </w:tr>
    </w:tbl>
    <w:p>
      <w:pPr>
        <w:spacing w:after="40"/>
      </w:pPr>
    </w:p>
    <w:p>
      <w:pPr>
        <w:spacing w:after="160"/>
      </w:pPr>
      <w:r>
        <w:rPr>
          <w:i/>
          <w:color w:val="595959"/>
          <w:sz w:val="18"/>
        </w:rPr>
        <w:t>Table. The discharge power ceiling the energy manager set, over every setting where the car followed the cycle. MEASURED on the board.</w:t>
      </w:r>
    </w:p>
    <w:p>
      <w:pPr>
        <w:spacing w:after="160"/>
      </w:pPr>
      <w:r>
        <w:rPr>
          <w:i w:val="0"/>
          <w:sz w:val="24"/>
        </w:rPr>
        <w:t>The first thing this settles is a correction. Both controllers use the ceiling, across the same range. An earlier reading of this project held that only the learned one did, and that was wrong.</w:t>
      </w:r>
    </w:p>
    <w:p>
      <w:pPr>
        <w:spacing w:after="160"/>
      </w:pPr>
      <w:r>
        <w:rPr>
          <w:i w:val="0"/>
          <w:sz w:val="24"/>
        </w:rPr>
        <w:t>What separates them is how hard each holds it down through the run: 123 kilowatts on average for the rules against 72 for the learned controller, which is 41 per cent lower. That is a sustained difference rather than a different limit, and it is the quantity that produces the lower peak currents reported in the previous section. The explanation there can now be stated as a measurement.</w:t>
      </w:r>
    </w:p>
    <w:p>
      <w:pPr>
        <w:pStyle w:val="Heading1"/>
      </w:pPr>
      <w:r>
        <w:t>28.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29.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30.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measurement campaign in week 10. The board is attached, the toolchain is settled and the deployed controller is on the chip, so this is the next piece of work rather than a blocked one.</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exact outage length where the failure handling starts to pay. It lies between four and five seconds, as fine as a whole-second sweep resolves.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31.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453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