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Change log: review items R1 to R10</w:t>
      </w:r>
    </w:p>
    <w:p>
      <w:r>
        <w:rPr>
          <w:i/>
        </w:rPr>
        <w:t>Page numbers refer to the rendered paper/EV-PIL-manuscript.pdf. New experiment column: whether any new run was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Where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Change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New experiment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Abstract p1; I p2; II-B p3; V-B p12-13; IX-A p22; X p23; README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Removed certified-bound wording; added approximation note and grid check sentence; adopted the suggested DP sentence in X.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Host-only, optional: scripts/dp_grid_sensitivity.py, docs/2026-10-30-dp-grid-sensitivity.json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V-F p15; III Table 2 p6; Data and Code Availability p23; docs/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Statistical unit stated; manifest, run ledger, plan erratum; b2_repeats_stats.py provenance fix; paper_table5_stats.py scope note.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Abstract p1; I p1-2; III p4-5; all captions and tables; V-E p14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Three-label scheme; 100 Hz speed loop vs 10 Hz EMS stated.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R4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Title block p1; whole layout; back matter p23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Floats replaced by inline one-column blocks; placeholders removed; AI-use and data statements added; bios removed; files renamed to EV-PIL-manuscript.*.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R5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Abstract p1; I p2; IV-I and Table 6 p11; IX-B p22; X p23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Four-group audit table with tested and recommended parts; anomaly-trigger caveat; duplicate sentence in IV-G removed.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Abstract p1; IV-J and Table 7 p12; IX-E p23; X p23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Validity summary table; Wh/km scoped to the model; 12 degree C campaigns noted as just above the validated envelope.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R7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 p2; VII-D p19-20; IX-D p22; Table 3 p7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Onsets vs time flagged; interpolation caveat; no field-ready claim; abstract claim dropped.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 p2; VII-B Table 13 p19; Table 3 p7; X p23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Comparator table and interpretation crediting filtering; Kalman benefit limited to clean-condition cost on tested seeds.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R9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III Tables 2 and 4 p6-8; V p12-15; IX-A, IX-E p22-23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Run ledger; deployed-seed row; one-configuration scope; same-seed runs not counted as samples.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720"/>
          </w:tcPr>
          <w:p>
            <w:r>
              <w:rPr>
                <w:sz w:val="17"/>
              </w:rPr>
              <w:t>R10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  <w:t>VII-E, VII-F p20-21; I p3; VI to VIII openings; docs/reproducibility-manifest.md</w:t>
            </w:r>
          </w:p>
        </w:tc>
        <w:tc>
          <w:tcPr>
            <w:tcW w:type="dxa" w:w="4176"/>
          </w:tcPr>
          <w:p>
            <w:r>
              <w:rPr>
                <w:sz w:val="17"/>
              </w:rPr>
              <w:t>Secondary subsections shortened; supporting sections marked; source-to-claim map; Transformer statement kept and made explicit in I.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No</w:t>
            </w:r>
          </w:p>
        </w:tc>
      </w:tr>
    </w:tbl>
    <w:p>
      <w:pPr>
        <w:spacing w:before="120"/>
      </w:pPr>
      <w:r>
        <w:rPr>
          <w:b/>
        </w:rPr>
        <w:t xml:space="preserve">Also changed: </w:t>
      </w:r>
      <w:r>
        <w:t>one verified reference added (Zhang et al., metamorphic testing of driving simulators, doi 10.1002/stvr.1892) to position the audit; the related-work novelty sentence on measured loops narrowed to the works cited; abstract 249 words. Prose lint clean on every section; sentence-length SD 10.7 to 13.0.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