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Response memo: technical review of 30 October 2026</w:t>
      </w:r>
    </w:p>
    <w:p>
      <w:r>
        <w:rPr>
          <w:i/>
        </w:rPr>
        <w:t>Manuscript: paper/EV-PIL-manuscript.docx (25 pages), rendered PDF alongside. Status per item: corrected, supported but unchanged, or not yet verifiable.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What changed and why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R1 DP interpretation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Corrected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Overclaims fixed in I, II, V-B, IX-A, X and README ("that much to gain", "DP bound", "within ... of the optimum"). V-B now states the approximations (single SOC state, exogenous RC branch, fixed ceiling) and that the gap does not certify the attainable saving. Optional grid check run: reference unchanged on SOC grids of 81 to 321 points and 6 to 77 action combinations.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R2 Three-seed traceability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Corrected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Records were already public on master; the plan named a combined file that was never written. Erratum added to the plan; docs/reproducibility-manifest.md gives paths, checksums and one command per table; run ledger (Table 2, CSV per run) added. Statistical unit stated in V-F. One script stamped the current commit into the manifest on re-run; fixed.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R3 Measured vs model energy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Corrected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Three labels defined in III (target-measured, PIL-evaluated, host-simulated) and applied to every result, table and caption. Abstract, I, V-E and README now say the EMS runs at 10 Hz above a 100 Hz speed loop.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R4 Layout and placeholders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Corrected; affiliation not yet verifiable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Cause of the Table 8 / Fig. 6 overlap removed: page-wide items no longer float. Mock note, dates, DOI, volume line and placeholder bios removed; AI-use statement and public data statement added. Every page rendered through Word and inspected. Affiliation left marked for the authors, as instructed.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R5 Audit framing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Corrected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Table 6 sets the audit in the four requested groups with path, result and coverage; tested parts separated from recommended ones. States that beating a feasible reference is a reason to investigate, not proof. Carried into abstract, I, IX-B and X.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R6 Model-validity disclosures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Supported; local changes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Existing disclosures kept. Table 7 summarises validity and its consequence for reported figures; abstract, limitations and conclusion now say absolute Wh/km belong to the model (13% to 17% transfer error). Test trips stay sealed.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R7 to R10 (P1)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Corrected (R10 partly)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R7 detector claims scoped; alarm onsets and time flagged separated; interpolation not treated as a 100 Hz sensor; removed from abstract. R8 Table 13 sets baseline, low-pass and Kalman side by side; recovery credited to filtering. R9 ledger, deployed-seed row, SAC-only scope. R10 VII-E/F shortened, VI to VIII marked supporting, authoritative version named; forecasting kept.</w:t>
            </w:r>
          </w:p>
        </w:tc>
      </w:tr>
    </w:tbl>
    <w:p>
      <w:pPr>
        <w:spacing w:before="120"/>
      </w:pPr>
      <w:r>
        <w:rPr>
          <w:b/>
        </w:rPr>
        <w:t xml:space="preserve">New experiments: </w:t>
      </w:r>
      <w:r>
        <w:t>one host-only check (DP grid sensitivity, optional in R1). No board run was needed; the review asks for claim accuracy, provenance and presentation, and the existing records answered it. No result changed sign or value.</w:t>
      </w:r>
    </w:p>
    <w:p>
      <w:r>
        <w:rPr>
          <w:b/>
        </w:rPr>
        <w:t xml:space="preserve">Still with the authors: </w:t>
      </w:r>
      <w:r>
        <w:t>confirmed affiliations; biographies when the venue is fixed; review of the AI-use statement against the venue's policy.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