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2 September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FAILS on 1 of 7. Parts A and B pass on every trip; one trip misses the state-of-charge bound by 0.45 of a point. Phase 2 proceeded with the miss recorded, not with the bound relaxed</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It is reliably slightly worse, which is what week 7's offline optimum predicted. Section 20.</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15 explains why that distinction matters.</w:t>
      </w:r>
    </w:p>
    <w:p>
      <w:pPr>
        <w:pStyle w:val="ListBullet"/>
        <w:spacing w:after="80"/>
      </w:pPr>
      <w:r>
        <w:t>The remaining experiment of week 9, which switches the failure handling off to measure what it is worth, is predicted before it is run, and predicted to point the opposite way from the obvious reading: switching the handling off should make typical tracking better, 0.031 against 0.363 metres per second at the one-second outage the campaign uses. The handling is a safety mechanism, and it only repays its cost in the worst case. Section 19.</w:t>
      </w:r>
    </w:p>
    <w:p>
      <w:pPr>
        <w:pStyle w:val="Heading2"/>
      </w:pPr>
      <w:r>
        <w:t>The state of the hardware for this report</w:t>
      </w:r>
    </w:p>
    <w:p>
      <w:pPr>
        <w:spacing w:after="160"/>
      </w:pPr>
      <w:r>
        <w:rPr>
          <w:i w:val="0"/>
          <w:sz w:val="24"/>
        </w:rPr>
        <w:t>No development board was attached when this report was generated. Everything described as measured in it was measured on the board in earlier weeks and is unchanged. Nothing new was measured. The one section built from a simulation instead of from the board, section 19, says so in its heading, its opening paragraph, its figure caption and its table.</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Pareto front — </w:t>
      </w:r>
      <w:r>
        <w:rPr>
          <w:sz w:val="21"/>
        </w:rPr>
        <w:t>Accuracy plotted against what a model costs to run, one point per candidate. It is used when there is no single best answer, only a set of them: a model is on the front if nothing else is both more accurate and cheaper. The useful reading is not which point is highest but how much accuracy the next step down the cost axis actually buys, which is frequently very little.</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It is worth being exact about what that means for the gate, because the temptation is to call six out of seven a pass. The criterion says every validation trip, both thresholds were deliberately carried over unchanged when the criterion was split, and one trip is outside one of them. So the gate's own verdict is a fail, and it is recorded as a fail in the measurement file.</w:t>
      </w:r>
    </w:p>
    <w:p>
      <w:pPr>
        <w:spacing w:after="160"/>
      </w:pPr>
      <w:r>
        <w:rPr>
          <w:i w:val="0"/>
          <w:sz w:val="24"/>
        </w:rPr>
        <w:t>What followed was a decision rather than a re-reading. Phase 2 was allowed to begin with the miss recorded and a condition attached: the forecaster is trained on real logged trips rather than on plant output, so its validity never depended on this gate, and the plant's real job is the reinforcement-learning environment and the closed loop. The trip-to-trip road-load spread, roughly 10 percent on mechanical energy, was to be represented as randomised training conditions rather than a fixed parameter set. That condition is still open and appears in the decisions list.</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Whether a bigger model, taught to a smaller one, helps</w:t>
      </w:r>
    </w:p>
    <w:p>
      <w:pPr>
        <w:spacing w:after="160"/>
      </w:pPr>
      <w:r>
        <w:rPr>
          <w:i w:val="0"/>
          <w:sz w:val="24"/>
        </w:rPr>
        <w:t>The design document plans this experiment in three rungs: the model in full precision, the same model in 8-bit, and then a small model taught by a large one. The first two were measured in week 6. This is the third, and it is the last piece of that experiment.</w:t>
      </w:r>
    </w:p>
    <w:p>
      <w:pPr>
        <w:pStyle w:val="Heading2"/>
      </w:pPr>
      <w:r>
        <w:t>The question is narrower than it sounds</w:t>
      </w:r>
    </w:p>
    <w:p>
      <w:pPr>
        <w:spacing w:after="160"/>
      </w:pPr>
      <w:r>
        <w:rPr>
          <w:i w:val="0"/>
          <w:sz w:val="24"/>
        </w:rPr>
        <w:t>Whether a big model beats a small one is not the question and would not be interesting. The forecaster that runs on the chip is already the size the compute budget allows, and it is trained on the data directly. The question is whether that same small model, taught by a large one instead of by the data alone, comes out better. Same size, same starting conditions, one difference.</w:t>
      </w:r>
    </w:p>
    <w:p>
      <w:pPr>
        <w:spacing w:after="160"/>
      </w:pPr>
      <w:r>
        <w:rPr>
          <w:i w:val="0"/>
          <w:sz w:val="24"/>
        </w:rPr>
        <w:t>Teaching a small model with a large one is called distillation. The large model, the teacher, is deliberately too big for the chip: if it fitted, there would be nothing to distil into. The small model is then trained on a half-and-half mixture of the real answer and the teacher's answer.</w:t>
      </w:r>
    </w:p>
    <w:p>
      <w:pPr>
        <w:pStyle w:val="Heading2"/>
      </w:pPr>
      <w:r>
        <w:t>First, a check that this is the same model</w:t>
      </w:r>
    </w:p>
    <w:p>
      <w:pPr>
        <w:spacing w:after="160"/>
      </w:pPr>
      <w:r>
        <w:rPr>
          <w:i w:val="0"/>
          <w:sz w:val="24"/>
        </w:rPr>
        <w:t>This experiment builds its data and trains its models with a separate script from the one week 6 used, so before any comparison means anything, its unchanged arm has to reproduce the model week 6 already measured. It does, to every digit.</w:t>
      </w:r>
    </w:p>
    <w:tbl>
      <w:tblPr>
        <w:tblStyle w:val="LightGrid-Accent1"/>
        <w:tblW w:type="auto" w:w="0"/>
        <w:jc w:val="center"/>
        <w:tblLook w:firstColumn="1" w:firstRow="1" w:lastColumn="0" w:lastRow="0" w:noHBand="0" w:noVBand="1" w:val="04A0"/>
      </w:tblPr>
      <w:tblGrid>
        <w:gridCol w:w="3216"/>
        <w:gridCol w:w="3216"/>
        <w:gridCol w:w="3216"/>
      </w:tblGrid>
      <w:tr>
        <w:tc>
          <w:tcPr>
            <w:tcW w:type="dxa" w:w="3168"/>
          </w:tcPr>
          <w:p>
            <w:r/>
            <w:r>
              <w:rPr>
                <w:b/>
                <w:sz w:val="20"/>
              </w:rPr>
              <w:t>Quantity</w:t>
            </w:r>
          </w:p>
        </w:tc>
        <w:tc>
          <w:tcPr>
            <w:tcW w:type="dxa" w:w="3168"/>
          </w:tcPr>
          <w:p>
            <w:r/>
            <w:r>
              <w:rPr>
                <w:b/>
                <w:sz w:val="20"/>
              </w:rPr>
              <w:t>Week 6</w:t>
            </w:r>
          </w:p>
        </w:tc>
        <w:tc>
          <w:tcPr>
            <w:tcW w:type="dxa" w:w="3168"/>
          </w:tcPr>
          <w:p>
            <w:r/>
            <w:r>
              <w:rPr>
                <w:b/>
                <w:sz w:val="20"/>
              </w:rPr>
              <w:t>This run</w:t>
            </w:r>
          </w:p>
        </w:tc>
      </w:tr>
      <w:tr>
        <w:tc>
          <w:tcPr>
            <w:tcW w:type="dxa" w:w="3168"/>
          </w:tcPr>
          <w:p>
            <w:r/>
            <w:r>
              <w:rPr>
                <w:sz w:val="20"/>
              </w:rPr>
              <w:t>Error, full precision</w:t>
            </w:r>
          </w:p>
        </w:tc>
        <w:tc>
          <w:tcPr>
            <w:tcW w:type="dxa" w:w="3168"/>
          </w:tcPr>
          <w:p>
            <w:r/>
            <w:r>
              <w:rPr>
                <w:sz w:val="20"/>
              </w:rPr>
              <w:t>11051.0667 W</w:t>
            </w:r>
          </w:p>
        </w:tc>
        <w:tc>
          <w:tcPr>
            <w:tcW w:type="dxa" w:w="3168"/>
          </w:tcPr>
          <w:p>
            <w:r/>
            <w:r>
              <w:rPr>
                <w:sz w:val="20"/>
              </w:rPr>
              <w:t>11051.0667 W</w:t>
            </w:r>
          </w:p>
        </w:tc>
      </w:tr>
      <w:tr>
        <w:tc>
          <w:tcPr>
            <w:tcW w:type="dxa" w:w="3168"/>
          </w:tcPr>
          <w:p>
            <w:r/>
            <w:r>
              <w:rPr>
                <w:sz w:val="20"/>
              </w:rPr>
              <w:t>Error, 8-bit</w:t>
            </w:r>
          </w:p>
        </w:tc>
        <w:tc>
          <w:tcPr>
            <w:tcW w:type="dxa" w:w="3168"/>
          </w:tcPr>
          <w:p>
            <w:r/>
            <w:r>
              <w:rPr>
                <w:sz w:val="20"/>
              </w:rPr>
              <w:t>11155.7240 W</w:t>
            </w:r>
          </w:p>
        </w:tc>
        <w:tc>
          <w:tcPr>
            <w:tcW w:type="dxa" w:w="3168"/>
          </w:tcPr>
          <w:p>
            <w:r/>
            <w:r>
              <w:rPr>
                <w:sz w:val="20"/>
              </w:rPr>
              <w:t>11155.7240 W</w:t>
            </w:r>
          </w:p>
        </w:tc>
      </w:tr>
      <w:tr>
        <w:tc>
          <w:tcPr>
            <w:tcW w:type="dxa" w:w="3168"/>
          </w:tcPr>
          <w:p>
            <w:r/>
            <w:r>
              <w:rPr>
                <w:sz w:val="20"/>
              </w:rPr>
              <w:t>Size on the chip</w:t>
            </w:r>
          </w:p>
        </w:tc>
        <w:tc>
          <w:tcPr>
            <w:tcW w:type="dxa" w:w="3168"/>
          </w:tcPr>
          <w:p>
            <w:r/>
            <w:r>
              <w:rPr>
                <w:sz w:val="20"/>
              </w:rPr>
              <w:t>20,664 bytes</w:t>
            </w:r>
          </w:p>
        </w:tc>
        <w:tc>
          <w:tcPr>
            <w:tcW w:type="dxa" w:w="3168"/>
          </w:tcPr>
          <w:p>
            <w:r/>
            <w:r>
              <w:rPr>
                <w:sz w:val="20"/>
              </w:rPr>
              <w:t>20,664 bytes</w:t>
            </w:r>
          </w:p>
        </w:tc>
      </w:tr>
    </w:tbl>
    <w:p>
      <w:pPr>
        <w:spacing w:after="40"/>
      </w:pPr>
    </w:p>
    <w:p>
      <w:pPr>
        <w:pStyle w:val="Heading2"/>
      </w:pPr>
      <w:r>
        <w:t>The answer is no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1728"/>
          </w:tcPr>
          <w:p>
            <w:r/>
            <w:r>
              <w:rPr>
                <w:b/>
                <w:sz w:val="20"/>
              </w:rPr>
              <w:t>Model</w:t>
            </w:r>
          </w:p>
        </w:tc>
        <w:tc>
          <w:tcPr>
            <w:tcW w:type="dxa" w:w="2880"/>
          </w:tcPr>
          <w:p>
            <w:r/>
            <w:r>
              <w:rPr>
                <w:b/>
                <w:sz w:val="20"/>
              </w:rPr>
              <w:t>Distilled minus direct</w:t>
            </w:r>
          </w:p>
        </w:tc>
        <w:tc>
          <w:tcPr>
            <w:tcW w:type="dxa" w:w="2592"/>
          </w:tcPr>
          <w:p>
            <w:r/>
            <w:r>
              <w:rPr>
                <w:b/>
                <w:sz w:val="20"/>
              </w:rPr>
              <w:t>Per training run</w:t>
            </w:r>
          </w:p>
        </w:tc>
        <w:tc>
          <w:tcPr>
            <w:tcW w:type="dxa" w:w="2016"/>
          </w:tcPr>
          <w:p>
            <w:r/>
            <w:r>
              <w:rPr>
                <w:b/>
                <w:sz w:val="20"/>
              </w:rPr>
              <w:t>Across runs</w:t>
            </w:r>
          </w:p>
        </w:tc>
      </w:tr>
      <w:tr>
        <w:tc>
          <w:tcPr>
            <w:tcW w:type="dxa" w:w="1728"/>
          </w:tcPr>
          <w:p>
            <w:r/>
            <w:r>
              <w:rPr>
                <w:sz w:val="20"/>
              </w:rPr>
              <w:t>d32</w:t>
            </w:r>
          </w:p>
        </w:tc>
        <w:tc>
          <w:tcPr>
            <w:tcW w:type="dxa" w:w="2880"/>
          </w:tcPr>
          <w:p>
            <w:r/>
            <w:r>
              <w:rPr>
                <w:sz w:val="20"/>
              </w:rPr>
              <w:t>+21.9 W (+0.20%)</w:t>
            </w:r>
          </w:p>
        </w:tc>
        <w:tc>
          <w:tcPr>
            <w:tcW w:type="dxa" w:w="2592"/>
          </w:tcPr>
          <w:p>
            <w:r/>
            <w:r>
              <w:rPr>
                <w:sz w:val="20"/>
              </w:rPr>
              <w:t>-13, +64, +15</w:t>
            </w:r>
          </w:p>
        </w:tc>
        <w:tc>
          <w:tcPr>
            <w:tcW w:type="dxa" w:w="2016"/>
          </w:tcPr>
          <w:p>
            <w:r/>
            <w:r>
              <w:rPr>
                <w:sz w:val="20"/>
              </w:rPr>
              <w:t>sign flips</w:t>
            </w:r>
          </w:p>
        </w:tc>
      </w:tr>
      <w:tr>
        <w:tc>
          <w:tcPr>
            <w:tcW w:type="dxa" w:w="1728"/>
          </w:tcPr>
          <w:p>
            <w:r/>
            <w:r>
              <w:rPr>
                <w:sz w:val="20"/>
              </w:rPr>
              <w:t>d16</w:t>
            </w:r>
          </w:p>
        </w:tc>
        <w:tc>
          <w:tcPr>
            <w:tcW w:type="dxa" w:w="2880"/>
          </w:tcPr>
          <w:p>
            <w:r/>
            <w:r>
              <w:rPr>
                <w:sz w:val="20"/>
              </w:rPr>
              <w:t>+99.2 W (+0.89%)</w:t>
            </w:r>
          </w:p>
        </w:tc>
        <w:tc>
          <w:tcPr>
            <w:tcW w:type="dxa" w:w="2592"/>
          </w:tcPr>
          <w:p>
            <w:r/>
            <w:r>
              <w:rPr>
                <w:sz w:val="20"/>
              </w:rPr>
              <w:t>+134, +166, -2</w:t>
            </w:r>
          </w:p>
        </w:tc>
        <w:tc>
          <w:tcPr>
            <w:tcW w:type="dxa" w:w="2016"/>
          </w:tcPr>
          <w:p>
            <w:r/>
            <w:r>
              <w:rPr>
                <w:sz w:val="20"/>
              </w:rPr>
              <w:t>sign flips</w:t>
            </w:r>
          </w:p>
        </w:tc>
      </w:tr>
    </w:tbl>
    <w:p>
      <w:pPr>
        <w:spacing w:after="40"/>
      </w:pPr>
    </w:p>
    <w:p>
      <w:pPr>
        <w:spacing w:after="160"/>
      </w:pPr>
      <w:r>
        <w:rPr>
          <w:i w:val="0"/>
          <w:color w:val="595959"/>
          <w:sz w:val="22"/>
        </w:rPr>
        <w:t>A negative number would mean distillation helped. Both are positive, and neither keeps its sign across the three training runs. By the same standard this project used to call the forecast ablation empty, this is empty too.</w:t>
      </w:r>
    </w:p>
    <w:p>
      <w:pPr>
        <w:pStyle w:val="Heading2"/>
      </w:pPr>
      <w:r>
        <w:t>Why, and this is the part worth keeping</w:t>
      </w:r>
    </w:p>
    <w:p>
      <w:pPr>
        <w:spacing w:after="160"/>
      </w:pPr>
      <w:r>
        <w:rPr>
          <w:i w:val="0"/>
          <w:sz w:val="24"/>
        </w:rPr>
        <w:t>The teacher is not better than its students. It carries 26.7 times as many parameters and 23.1 times the memory of the smallest student, and it comes out 64.3 watts WORSE. Distillation moves what the teacher knows and the student does not, and here that is nothing. The empty result is the method reporting honestly that there was nothing to move, rather than the method failing.</w:t>
      </w:r>
    </w:p>
    <w:p>
      <w:pPr>
        <w:jc w:val="center"/>
      </w:pPr>
      <w:r>
        <w:drawing>
          <wp:inline xmlns:a="http://schemas.openxmlformats.org/drawingml/2006/main" xmlns:pic="http://schemas.openxmlformats.org/drawingml/2006/picture">
            <wp:extent cx="5852160" cy="2258728"/>
            <wp:docPr id="8" name="Picture 8"/>
            <wp:cNvGraphicFramePr>
              <a:graphicFrameLocks noChangeAspect="1"/>
            </wp:cNvGraphicFramePr>
            <a:graphic>
              <a:graphicData uri="http://schemas.openxmlformats.org/drawingml/2006/picture">
                <pic:pic>
                  <pic:nvPicPr>
                    <pic:cNvPr id="0" name="a2-distillation.png"/>
                    <pic:cNvPicPr/>
                  </pic:nvPicPr>
                  <pic:blipFill>
                    <a:blip r:embed="rId16"/>
                    <a:stretch>
                      <a:fillRect/>
                    </a:stretch>
                  </pic:blipFill>
                  <pic:spPr>
                    <a:xfrm>
                      <a:off x="0" y="0"/>
                      <a:ext cx="5852160" cy="2258728"/>
                    </a:xfrm>
                    <a:prstGeom prst="rect"/>
                  </pic:spPr>
                </pic:pic>
              </a:graphicData>
            </a:graphic>
          </wp:inline>
        </w:drawing>
      </w:r>
    </w:p>
    <w:p>
      <w:pPr>
        <w:spacing w:after="240"/>
        <w:jc w:val="center"/>
      </w:pPr>
      <w:r>
        <w:rPr>
          <w:i/>
          <w:color w:val="595959"/>
          <w:sz w:val="18"/>
        </w:rPr>
        <w:t>Figure 8. Accuracy against cost for every arm, and the same comparison paired by training run. Note how far the error bars overlap: that overlap is the result.</w:t>
      </w:r>
    </w:p>
    <w:p>
      <w:pPr>
        <w:spacing w:after="120"/>
        <w:ind w:left="403"/>
      </w:pPr>
      <w:r>
        <w:rPr>
          <w:b/>
          <w:sz w:val="21"/>
        </w:rPr>
        <w:t xml:space="preserve">Left panel — accuracy plotted against what each model costs to run. </w:t>
      </w:r>
      <w:r>
        <w:rPr>
          <w:sz w:val="21"/>
        </w:rPr>
        <w:t>Each column is one model size, with the directly trained and the distilled version at the same position because they are the same size and cost the same. The grey line joins each pair, so the vertical gap between the two dots is the whole effect of teaching. The bars are the spread across three training runs, and they overlap almost completely.</w:t>
      </w:r>
    </w:p>
    <w:p>
      <w:pPr>
        <w:spacing w:after="120"/>
        <w:ind w:left="403"/>
      </w:pPr>
      <w:r>
        <w:rPr>
          <w:b/>
          <w:sz w:val="21"/>
        </w:rPr>
        <w:t xml:space="preserve">Right panel — the same thing, run by run. </w:t>
      </w:r>
      <w:r>
        <w:rPr>
          <w:sz w:val="21"/>
        </w:rPr>
        <w:t>Each dot is one training run: how much worse or better the taught model was than the untaught one. Dots on both sides of the line mean the effect changes direction depending on the random seed, which is what having no effect looks like.</w:t>
      </w:r>
    </w:p>
    <w:p>
      <w:pPr>
        <w:pStyle w:val="Heading2"/>
      </w:pPr>
      <w:r>
        <w:t>What the whole comparison is worth</w:t>
      </w:r>
    </w:p>
    <w:p>
      <w:pPr>
        <w:pStyle w:val="ListBullet"/>
        <w:spacing w:after="80"/>
      </w:pPr>
      <w:r>
        <w:t>Every model tried, from 5,102 parameters to 136,414, falls within 99.2 watts of the others, which is 0.89%.</w:t>
      </w:r>
    </w:p>
    <w:p>
      <w:pPr>
        <w:pStyle w:val="ListBullet"/>
        <w:spacing w:after="80"/>
      </w:pPr>
      <w:r>
        <w:t>That is smaller than what 8-bit conversion costs, measured in week 6 at 0.95%. The entire range of model sizes matters less than the number format does.</w:t>
      </w:r>
    </w:p>
    <w:p>
      <w:pPr>
        <w:pStyle w:val="ListBullet"/>
        <w:spacing w:after="80"/>
      </w:pPr>
      <w:r>
        <w:t>The distance from the best model to the naive baseline is 2,071 watts. So the whole sweep of architectures moves 4.8% of the distance that having a forecaster at all buys.</w:t>
      </w:r>
    </w:p>
    <w:p>
      <w:pPr>
        <w:spacing w:after="160"/>
      </w:pPr>
      <w:r>
        <w:rPr>
          <w:i w:val="0"/>
          <w:sz w:val="24"/>
        </w:rPr>
        <w:t>This is the third time the project has arrived at that shape from a different direction. The model comparison in week 4 found a plain linear regression reaching 87% of the benefit for 1.2% of the cost. The offline optimum in week 7 found the best possible energy strategy was a constant. Now the model sweep finds capacity beyond a very small network buys nothing. The useful signal in this problem is captured early and cheaply.</w:t>
      </w:r>
    </w:p>
    <w:p>
      <w:pPr>
        <w:pStyle w:val="Heading2"/>
      </w:pPr>
      <w:r>
        <w:t>What it changes, and what it does not</w:t>
      </w:r>
    </w:p>
    <w:p>
      <w:pPr>
        <w:spacing w:after="160"/>
      </w:pPr>
      <w:r>
        <w:rPr>
          <w:i w:val="0"/>
          <w:sz w:val="24"/>
        </w:rPr>
        <w:t>It does not settle what should ship. That decision is waiting on the energy-management question in section 16. What it adds is a cheaper option that was not on the table.</w:t>
      </w:r>
    </w:p>
    <w:p>
      <w:pPr>
        <w:spacing w:after="160"/>
      </w:pPr>
      <w:r>
        <w:rPr>
          <w:i w:val="0"/>
          <w:sz w:val="24"/>
        </w:rPr>
        <w:t>The half-width model reaches 11.148 kW using 6.1 KB, against the deployed model's 11.156 kW using 20.2 KB. Those two are the same number to within the noise between training runs, so if the forecaster ships at all, nothing measured here justifies paying for the larger one.</w:t>
      </w:r>
    </w:p>
    <w:p>
      <w:pPr>
        <w:spacing w:after="160"/>
      </w:pPr>
      <w:r>
        <w:rPr>
          <w:i w:val="0"/>
          <w:color w:val="595959"/>
          <w:sz w:val="22"/>
        </w:rPr>
        <w:t>One caution attaches to that. The latency figures in this section are estimates from counting arithmetic, and this project has already measured what such estimates are worth: the deployed model was estimated at 22.28 milliseconds and timed on the chip at 36.46, so the estimate ran 64% low. The smaller model would need timing on the board like everything else before its figure is quoted.</w:t>
      </w:r>
    </w:p>
    <w:p>
      <w:pPr>
        <w:pStyle w:val="Heading1"/>
      </w:pPr>
      <w:r>
        <w:t>15.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Round trip to the laptop, worst case</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9" name="Picture 9"/>
            <wp:cNvGraphicFramePr>
              <a:graphicFrameLocks noChangeAspect="1"/>
            </wp:cNvGraphicFramePr>
            <a:graphic>
              <a:graphicData uri="http://schemas.openxmlformats.org/drawingml/2006/picture">
                <pic:pic>
                  <pic:nvPicPr>
                    <pic:cNvPr id="0" name="g3-jitter.png"/>
                    <pic:cNvPicPr/>
                  </pic:nvPicPr>
                  <pic:blipFill>
                    <a:blip r:embed="rId17"/>
                    <a:stretch>
                      <a:fillRect/>
                    </a:stretch>
                  </pic:blipFill>
                  <pic:spPr>
                    <a:xfrm>
                      <a:off x="0" y="0"/>
                      <a:ext cx="5852160" cy="2048256"/>
                    </a:xfrm>
                    <a:prstGeom prst="rect"/>
                  </pic:spPr>
                </pic:pic>
              </a:graphicData>
            </a:graphic>
          </wp:inline>
        </w:drawing>
      </w:r>
    </w:p>
    <w:p>
      <w:pPr>
        <w:spacing w:after="240"/>
        <w:jc w:val="center"/>
      </w:pPr>
      <w:r>
        <w:rPr>
          <w:i/>
          <w:color w:val="595959"/>
          <w:sz w:val="18"/>
        </w:rPr>
        <w:t>Figure 9.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 The worst measured round trip was 1766 microseconds.</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Worst round trip to the laptop</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round trip falls by a factor of 96, because the loop no longer waits for it.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Worst round trip to the laptop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16.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10" name="Picture 10"/>
            <wp:cNvGraphicFramePr>
              <a:graphicFrameLocks noChangeAspect="1"/>
            </wp:cNvGraphicFramePr>
            <a:graphic>
              <a:graphicData uri="http://schemas.openxmlformats.org/drawingml/2006/picture">
                <pic:pic>
                  <pic:nvPicPr>
                    <pic:cNvPr id="0" name="week7-control.png"/>
                    <pic:cNvPicPr/>
                  </pic:nvPicPr>
                  <pic:blipFill>
                    <a:blip r:embed="rId18"/>
                    <a:stretch>
                      <a:fillRect/>
                    </a:stretch>
                  </pic:blipFill>
                  <pic:spPr>
                    <a:xfrm>
                      <a:off x="0" y="0"/>
                      <a:ext cx="5852160" cy="2239087"/>
                    </a:xfrm>
                    <a:prstGeom prst="rect"/>
                  </pic:spPr>
                </pic:pic>
              </a:graphicData>
            </a:graphic>
          </wp:inline>
        </w:drawing>
      </w:r>
    </w:p>
    <w:p>
      <w:pPr>
        <w:spacing w:after="240"/>
        <w:jc w:val="center"/>
      </w:pPr>
      <w:r>
        <w:rPr>
          <w:i/>
          <w:color w:val="595959"/>
          <w:sz w:val="18"/>
        </w:rPr>
        <w:t>Figure 10.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1" name="Picture 11"/>
            <wp:cNvGraphicFramePr>
              <a:graphicFrameLocks noChangeAspect="1"/>
            </wp:cNvGraphicFramePr>
            <a:graphic>
              <a:graphicData uri="http://schemas.openxmlformats.org/drawingml/2006/picture">
                <pic:pic>
                  <pic:nvPicPr>
                    <pic:cNvPr id="0" name="week7-pid-robustness.png"/>
                    <pic:cNvPicPr/>
                  </pic:nvPicPr>
                  <pic:blipFill>
                    <a:blip r:embed="rId19"/>
                    <a:stretch>
                      <a:fillRect/>
                    </a:stretch>
                  </pic:blipFill>
                  <pic:spPr>
                    <a:xfrm>
                      <a:off x="0" y="0"/>
                      <a:ext cx="5852160" cy="3080084"/>
                    </a:xfrm>
                    <a:prstGeom prst="rect"/>
                  </pic:spPr>
                </pic:pic>
              </a:graphicData>
            </a:graphic>
          </wp:inline>
        </w:drawing>
      </w:r>
    </w:p>
    <w:p>
      <w:pPr>
        <w:spacing w:after="240"/>
        <w:jc w:val="center"/>
      </w:pPr>
      <w:r>
        <w:rPr>
          <w:i/>
          <w:color w:val="595959"/>
          <w:sz w:val="18"/>
        </w:rPr>
        <w:t>Figure 11.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17.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18.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is a rebuild rather than a reconstruction, and the rebuild has been confirmed to compile. What it is expected to show is worked out in section 19, and the measurement itself is waiting on the board being attached.</w:t>
      </w:r>
    </w:p>
    <w:p>
      <w:pPr>
        <w:pStyle w:val="Heading1"/>
      </w:pPr>
      <w:r>
        <w:t>19. What the failure handling is worth, predicted</w:t>
      </w:r>
    </w:p>
    <w:p>
      <w:pPr>
        <w:spacing w:after="160"/>
      </w:pPr>
      <w:r>
        <w:rPr>
          <w:i/>
          <w:sz w:val="24"/>
        </w:rPr>
        <w:t>Nothing in this section was measured. No development board was attached when this report was generated, so the experiment described here was run as a simulation on the laptop. It is written down now, before the hardware run, so that the hardware result can be checked against a prediction that already existed rather than explained after the fact.</w:t>
      </w:r>
    </w:p>
    <w:p>
      <w:pPr>
        <w:spacing w:after="160"/>
      </w:pPr>
      <w:r>
        <w:rPr>
          <w:i w:val="0"/>
          <w:sz w:val="24"/>
        </w:rPr>
        <w:t>That order is deliberate and the project has already been paid for using it. The offline optimum predicted, with a reason, that the forecast would make no difference to control before any learning run was started, and five training runs then agreed. A prediction produced after a result is worth nothing.</w:t>
      </w:r>
    </w:p>
    <w:p>
      <w:pPr>
        <w:pStyle w:val="Heading2"/>
      </w:pPr>
      <w:r>
        <w:t>The question</w:t>
      </w:r>
    </w:p>
    <w:p>
      <w:pPr>
        <w:spacing w:after="160"/>
      </w:pPr>
      <w:r>
        <w:rPr>
          <w:i w:val="0"/>
          <w:sz w:val="24"/>
        </w:rPr>
        <w:t>The previous section built the handling for a missed deadline and triggered it on the board. The obvious follow-up question is what that handling is actually worth, and the way to answer it is to switch it off and measure how much worse things get. That experiment is called A4 and it is the one remaining piece of week 9 that does not depend on any pending decision.</w:t>
      </w:r>
    </w:p>
    <w:p>
      <w:pPr>
        <w:spacing w:after="160"/>
      </w:pPr>
      <w:r>
        <w:rPr>
          <w:i w:val="0"/>
          <w:sz w:val="24"/>
        </w:rPr>
        <w:t>The firmware already has the switch. Turning it off removes exactly two behaviours: the simple rules no longer take over when the energy manager goes quiet, and the torque is no longer ramped down when the car's state stops arriving. Everything else, including noticing and counting the failure, is untouched. That is what makes it a controlled comparison rather than two different experiments.</w:t>
      </w:r>
    </w:p>
    <w:p>
      <w:pPr>
        <w:pStyle w:val="Heading2"/>
      </w:pPr>
      <w:r>
        <w:t>What was simulated</w:t>
      </w:r>
    </w:p>
    <w:p>
      <w:pPr>
        <w:spacing w:after="160"/>
      </w:pPr>
      <w:r>
        <w:rPr>
          <w:i w:val="0"/>
          <w:sz w:val="24"/>
        </w:rPr>
        <w:t>The laptop model reproduces the chip's control task step for step, at the same 10 millisecond period, tolerating the same 5 missed updates before it reacts and ramping torque down at the same 10 newton-metres per step.</w:t>
      </w:r>
    </w:p>
    <w:p>
      <w:pPr>
        <w:spacing w:after="160"/>
      </w:pPr>
      <w:r>
        <w:rPr>
          <w:i w:val="0"/>
          <w:sz w:val="24"/>
        </w:rPr>
        <w:t>One detail decides whether the model is honest. When the laptop stops answering, the chip keeps the whole of the last message it received, so it loses not only its speed reading but also the speed it was being asked to reach and the slope of the road. Modelling only the lost speed reading would leave the controller secretly knowing where it was supposed to be going, and would make the failure look milder than it is.</w:t>
      </w:r>
    </w:p>
    <w:p>
      <w:pPr>
        <w:spacing w:after="160"/>
      </w:pPr>
      <w:r>
        <w:rPr>
          <w:i w:val="0"/>
          <w:sz w:val="24"/>
        </w:rPr>
        <w:t>480 paired outages were simulated: four standard driving cycles, 6 outage lengths from 0.2 to 10 seconds, and 20 different starting moments spread across each cycle. The starting moment is varied because a single one can be chosen to flatter either answer: an outage during steady cruising costs almost nothing, and one during hard acceleration costs a great deal.</w:t>
      </w:r>
    </w:p>
    <w:p>
      <w:pPr>
        <w:spacing w:after="160"/>
      </w:pPr>
      <w:r>
        <w:rPr>
          <w:i w:val="0"/>
          <w:sz w:val="24"/>
        </w:rPr>
        <w:t>Each outage is simulated from a 15 second run-up rather than from the start of the cycle, which is what makes 480 runs affordable. The run-up is checked rather than assumed: the worst tracking error anywhere before any outage begins is 0.017 metres per second, so the controller is settled when the failure starts.</w:t>
      </w:r>
    </w:p>
    <w:p>
      <w:pPr>
        <w:jc w:val="center"/>
      </w:pPr>
      <w:r>
        <w:drawing>
          <wp:inline xmlns:a="http://schemas.openxmlformats.org/drawingml/2006/main" xmlns:pic="http://schemas.openxmlformats.org/drawingml/2006/picture">
            <wp:extent cx="5852160" cy="2234461"/>
            <wp:docPr id="12" name="Picture 12"/>
            <wp:cNvGraphicFramePr>
              <a:graphicFrameLocks noChangeAspect="1"/>
            </wp:cNvGraphicFramePr>
            <a:graphic>
              <a:graphicData uri="http://schemas.openxmlformats.org/drawingml/2006/picture">
                <pic:pic>
                  <pic:nvPicPr>
                    <pic:cNvPr id="0" name="week9-a4-prediction.png"/>
                    <pic:cNvPicPr/>
                  </pic:nvPicPr>
                  <pic:blipFill>
                    <a:blip r:embed="rId20"/>
                    <a:stretch>
                      <a:fillRect/>
                    </a:stretch>
                  </pic:blipFill>
                  <pic:spPr>
                    <a:xfrm>
                      <a:off x="0" y="0"/>
                      <a:ext cx="5852160" cy="2234461"/>
                    </a:xfrm>
                    <a:prstGeom prst="rect"/>
                  </pic:spPr>
                </pic:pic>
              </a:graphicData>
            </a:graphic>
          </wp:inline>
        </w:drawing>
      </w:r>
    </w:p>
    <w:p>
      <w:pPr>
        <w:spacing w:after="240"/>
        <w:jc w:val="center"/>
      </w:pPr>
      <w:r>
        <w:rPr>
          <w:i/>
          <w:color w:val="595959"/>
          <w:sz w:val="18"/>
        </w:rPr>
        <w:t>Figure 12. Ablation A4 as predicted on the laptop, not measured. Peak speed error against the outage length, with the shipped handling on and with it switched off. Both axes are logarithmic because the error spans four orders of magnitude across the range of outages tried.</w:t>
      </w:r>
    </w:p>
    <w:p>
      <w:pPr>
        <w:spacing w:after="120"/>
        <w:ind w:left="403"/>
      </w:pPr>
      <w:r>
        <w:rPr>
          <w:b/>
          <w:sz w:val="21"/>
        </w:rPr>
        <w:t xml:space="preserve">Left panel — the ordinary case, and it is the surprising one. </w:t>
      </w:r>
      <w:r>
        <w:rPr>
          <w:sz w:val="21"/>
        </w:rPr>
        <w:t>Across the middle of the distribution, switching the handling OFF tracks the target speed better at every outage length tried. This is not a fault in the handling. Over a second or two the target speed has barely moved, so simply holding the last command is a better guess than ramping the torque away to nothing.</w:t>
      </w:r>
    </w:p>
    <w:p>
      <w:pPr>
        <w:spacing w:after="120"/>
        <w:ind w:left="403"/>
      </w:pPr>
      <w:r>
        <w:rPr>
          <w:b/>
          <w:sz w:val="21"/>
        </w:rPr>
        <w:t xml:space="preserve">Right panel — the bad case, where the handling earns its keep. </w:t>
      </w:r>
      <w:r>
        <w:rPr>
          <w:sz w:val="21"/>
        </w:rPr>
        <w:t>Taking the worst outage out of every set instead of the middle one, the two lines cross. Beyond a five-second outage, holding a stale command produces a larger excursion than ramping down does, because by then the command being held has no relationship to what the car should be doing.</w:t>
      </w:r>
    </w:p>
    <w:p>
      <w:pPr>
        <w:pStyle w:val="Heading2"/>
      </w:pPr>
      <w:r>
        <w:t>The predicted numbers</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296"/>
          </w:tcPr>
          <w:p>
            <w:r/>
            <w:r>
              <w:rPr>
                <w:b/>
                <w:sz w:val="20"/>
              </w:rPr>
              <w:t>Outage</w:t>
            </w:r>
          </w:p>
        </w:tc>
        <w:tc>
          <w:tcPr>
            <w:tcW w:type="dxa" w:w="2160"/>
          </w:tcPr>
          <w:p>
            <w:r/>
            <w:r>
              <w:rPr>
                <w:b/>
                <w:sz w:val="20"/>
              </w:rPr>
              <w:t>Handling on, typical</w:t>
            </w:r>
          </w:p>
        </w:tc>
        <w:tc>
          <w:tcPr>
            <w:tcW w:type="dxa" w:w="2160"/>
          </w:tcPr>
          <w:p>
            <w:r/>
            <w:r>
              <w:rPr>
                <w:b/>
                <w:sz w:val="20"/>
              </w:rPr>
              <w:t>Handling off, typical</w:t>
            </w:r>
          </w:p>
        </w:tc>
        <w:tc>
          <w:tcPr>
            <w:tcW w:type="dxa" w:w="1872"/>
          </w:tcPr>
          <w:p>
            <w:r/>
            <w:r>
              <w:rPr>
                <w:b/>
                <w:sz w:val="20"/>
              </w:rPr>
              <w:t>Handling on, worst</w:t>
            </w:r>
          </w:p>
        </w:tc>
        <w:tc>
          <w:tcPr>
            <w:tcW w:type="dxa" w:w="1872"/>
          </w:tcPr>
          <w:p>
            <w:r/>
            <w:r>
              <w:rPr>
                <w:b/>
                <w:sz w:val="20"/>
              </w:rPr>
              <w:t>Handling off, worst</w:t>
            </w:r>
          </w:p>
        </w:tc>
      </w:tr>
      <w:tr>
        <w:tc>
          <w:tcPr>
            <w:tcW w:type="dxa" w:w="1296"/>
          </w:tcPr>
          <w:p>
            <w:r/>
            <w:r>
              <w:rPr>
                <w:sz w:val="20"/>
              </w:rPr>
              <w:t>0.2 s</w:t>
            </w:r>
          </w:p>
        </w:tc>
        <w:tc>
          <w:tcPr>
            <w:tcW w:type="dxa" w:w="2160"/>
          </w:tcPr>
          <w:p>
            <w:r/>
            <w:r>
              <w:rPr>
                <w:sz w:val="20"/>
              </w:rPr>
              <w:t>0.057</w:t>
            </w:r>
          </w:p>
        </w:tc>
        <w:tc>
          <w:tcPr>
            <w:tcW w:type="dxa" w:w="2160"/>
          </w:tcPr>
          <w:p>
            <w:r/>
            <w:r>
              <w:rPr>
                <w:sz w:val="20"/>
              </w:rPr>
              <w:t>0.001</w:t>
            </w:r>
          </w:p>
        </w:tc>
        <w:tc>
          <w:tcPr>
            <w:tcW w:type="dxa" w:w="1872"/>
          </w:tcPr>
          <w:p>
            <w:r/>
            <w:r>
              <w:rPr>
                <w:sz w:val="20"/>
              </w:rPr>
              <w:t>0.179</w:t>
            </w:r>
          </w:p>
        </w:tc>
        <w:tc>
          <w:tcPr>
            <w:tcW w:type="dxa" w:w="1872"/>
          </w:tcPr>
          <w:p>
            <w:r/>
            <w:r>
              <w:rPr>
                <w:sz w:val="20"/>
              </w:rPr>
              <w:t>0.101</w:t>
            </w:r>
          </w:p>
        </w:tc>
      </w:tr>
      <w:tr>
        <w:tc>
          <w:tcPr>
            <w:tcW w:type="dxa" w:w="1296"/>
          </w:tcPr>
          <w:p>
            <w:r/>
            <w:r>
              <w:rPr>
                <w:sz w:val="20"/>
              </w:rPr>
              <w:t>0.5 s</w:t>
            </w:r>
          </w:p>
        </w:tc>
        <w:tc>
          <w:tcPr>
            <w:tcW w:type="dxa" w:w="2160"/>
          </w:tcPr>
          <w:p>
            <w:r/>
            <w:r>
              <w:rPr>
                <w:sz w:val="20"/>
              </w:rPr>
              <w:t>0.174</w:t>
            </w:r>
          </w:p>
        </w:tc>
        <w:tc>
          <w:tcPr>
            <w:tcW w:type="dxa" w:w="2160"/>
          </w:tcPr>
          <w:p>
            <w:r/>
            <w:r>
              <w:rPr>
                <w:sz w:val="20"/>
              </w:rPr>
              <w:t>0.002</w:t>
            </w:r>
          </w:p>
        </w:tc>
        <w:tc>
          <w:tcPr>
            <w:tcW w:type="dxa" w:w="1872"/>
          </w:tcPr>
          <w:p>
            <w:r/>
            <w:r>
              <w:rPr>
                <w:sz w:val="20"/>
              </w:rPr>
              <w:t>0.679</w:t>
            </w:r>
          </w:p>
        </w:tc>
        <w:tc>
          <w:tcPr>
            <w:tcW w:type="dxa" w:w="1872"/>
          </w:tcPr>
          <w:p>
            <w:r/>
            <w:r>
              <w:rPr>
                <w:sz w:val="20"/>
              </w:rPr>
              <w:t>0.346</w:t>
            </w:r>
          </w:p>
        </w:tc>
      </w:tr>
      <w:tr>
        <w:tc>
          <w:tcPr>
            <w:tcW w:type="dxa" w:w="1296"/>
          </w:tcPr>
          <w:p>
            <w:r/>
            <w:r>
              <w:rPr>
                <w:sz w:val="20"/>
              </w:rPr>
              <w:t>1 s</w:t>
            </w:r>
          </w:p>
        </w:tc>
        <w:tc>
          <w:tcPr>
            <w:tcW w:type="dxa" w:w="2160"/>
          </w:tcPr>
          <w:p>
            <w:r/>
            <w:r>
              <w:rPr>
                <w:sz w:val="20"/>
              </w:rPr>
              <w:t>0.363</w:t>
            </w:r>
          </w:p>
        </w:tc>
        <w:tc>
          <w:tcPr>
            <w:tcW w:type="dxa" w:w="2160"/>
          </w:tcPr>
          <w:p>
            <w:r/>
            <w:r>
              <w:rPr>
                <w:sz w:val="20"/>
              </w:rPr>
              <w:t>0.031</w:t>
            </w:r>
          </w:p>
        </w:tc>
        <w:tc>
          <w:tcPr>
            <w:tcW w:type="dxa" w:w="1872"/>
          </w:tcPr>
          <w:p>
            <w:r/>
            <w:r>
              <w:rPr>
                <w:sz w:val="20"/>
              </w:rPr>
              <w:t>1.499</w:t>
            </w:r>
          </w:p>
        </w:tc>
        <w:tc>
          <w:tcPr>
            <w:tcW w:type="dxa" w:w="1872"/>
          </w:tcPr>
          <w:p>
            <w:r/>
            <w:r>
              <w:rPr>
                <w:sz w:val="20"/>
              </w:rPr>
              <w:t>0.612</w:t>
            </w:r>
          </w:p>
        </w:tc>
      </w:tr>
      <w:tr>
        <w:tc>
          <w:tcPr>
            <w:tcW w:type="dxa" w:w="1296"/>
          </w:tcPr>
          <w:p>
            <w:r/>
            <w:r>
              <w:rPr>
                <w:sz w:val="20"/>
              </w:rPr>
              <w:t>2 s</w:t>
            </w:r>
          </w:p>
        </w:tc>
        <w:tc>
          <w:tcPr>
            <w:tcW w:type="dxa" w:w="2160"/>
          </w:tcPr>
          <w:p>
            <w:r/>
            <w:r>
              <w:rPr>
                <w:sz w:val="20"/>
              </w:rPr>
              <w:t>0.681</w:t>
            </w:r>
          </w:p>
        </w:tc>
        <w:tc>
          <w:tcPr>
            <w:tcW w:type="dxa" w:w="2160"/>
          </w:tcPr>
          <w:p>
            <w:r/>
            <w:r>
              <w:rPr>
                <w:sz w:val="20"/>
              </w:rPr>
              <w:t>0.190</w:t>
            </w:r>
          </w:p>
        </w:tc>
        <w:tc>
          <w:tcPr>
            <w:tcW w:type="dxa" w:w="1872"/>
          </w:tcPr>
          <w:p>
            <w:r/>
            <w:r>
              <w:rPr>
                <w:sz w:val="20"/>
              </w:rPr>
              <w:t>2.954</w:t>
            </w:r>
          </w:p>
        </w:tc>
        <w:tc>
          <w:tcPr>
            <w:tcW w:type="dxa" w:w="1872"/>
          </w:tcPr>
          <w:p>
            <w:r/>
            <w:r>
              <w:rPr>
                <w:sz w:val="20"/>
              </w:rPr>
              <w:t>1.408</w:t>
            </w:r>
          </w:p>
        </w:tc>
      </w:tr>
      <w:tr>
        <w:tc>
          <w:tcPr>
            <w:tcW w:type="dxa" w:w="1296"/>
          </w:tcPr>
          <w:p>
            <w:r/>
            <w:r>
              <w:rPr>
                <w:sz w:val="20"/>
              </w:rPr>
              <w:t>5 s</w:t>
            </w:r>
          </w:p>
        </w:tc>
        <w:tc>
          <w:tcPr>
            <w:tcW w:type="dxa" w:w="2160"/>
          </w:tcPr>
          <w:p>
            <w:r/>
            <w:r>
              <w:rPr>
                <w:sz w:val="20"/>
              </w:rPr>
              <w:t>1.764</w:t>
            </w:r>
          </w:p>
        </w:tc>
        <w:tc>
          <w:tcPr>
            <w:tcW w:type="dxa" w:w="2160"/>
          </w:tcPr>
          <w:p>
            <w:r/>
            <w:r>
              <w:rPr>
                <w:sz w:val="20"/>
              </w:rPr>
              <w:t>0.636</w:t>
            </w:r>
          </w:p>
        </w:tc>
        <w:tc>
          <w:tcPr>
            <w:tcW w:type="dxa" w:w="1872"/>
          </w:tcPr>
          <w:p>
            <w:r/>
            <w:r>
              <w:rPr>
                <w:sz w:val="20"/>
              </w:rPr>
              <w:t>6.881</w:t>
            </w:r>
          </w:p>
        </w:tc>
        <w:tc>
          <w:tcPr>
            <w:tcW w:type="dxa" w:w="1872"/>
          </w:tcPr>
          <w:p>
            <w:r/>
            <w:r>
              <w:rPr>
                <w:sz w:val="20"/>
              </w:rPr>
              <w:t>8.024</w:t>
            </w:r>
          </w:p>
        </w:tc>
      </w:tr>
      <w:tr>
        <w:tc>
          <w:tcPr>
            <w:tcW w:type="dxa" w:w="1296"/>
          </w:tcPr>
          <w:p>
            <w:r/>
            <w:r>
              <w:rPr>
                <w:sz w:val="20"/>
              </w:rPr>
              <w:t>10 s</w:t>
            </w:r>
          </w:p>
        </w:tc>
        <w:tc>
          <w:tcPr>
            <w:tcW w:type="dxa" w:w="2160"/>
          </w:tcPr>
          <w:p>
            <w:r/>
            <w:r>
              <w:rPr>
                <w:sz w:val="20"/>
              </w:rPr>
              <w:t>3.392</w:t>
            </w:r>
          </w:p>
        </w:tc>
        <w:tc>
          <w:tcPr>
            <w:tcW w:type="dxa" w:w="2160"/>
          </w:tcPr>
          <w:p>
            <w:r/>
            <w:r>
              <w:rPr>
                <w:sz w:val="20"/>
              </w:rPr>
              <w:t>1.437</w:t>
            </w:r>
          </w:p>
        </w:tc>
        <w:tc>
          <w:tcPr>
            <w:tcW w:type="dxa" w:w="1872"/>
          </w:tcPr>
          <w:p>
            <w:r/>
            <w:r>
              <w:rPr>
                <w:sz w:val="20"/>
              </w:rPr>
              <w:t>13.265</w:t>
            </w:r>
          </w:p>
        </w:tc>
        <w:tc>
          <w:tcPr>
            <w:tcW w:type="dxa" w:w="1872"/>
          </w:tcPr>
          <w:p>
            <w:r/>
            <w:r>
              <w:rPr>
                <w:sz w:val="20"/>
              </w:rPr>
              <w:t>19.705</w:t>
            </w:r>
          </w:p>
        </w:tc>
      </w:tr>
    </w:tbl>
    <w:p>
      <w:pPr>
        <w:spacing w:after="40"/>
      </w:pPr>
    </w:p>
    <w:p>
      <w:pPr>
        <w:spacing w:after="160"/>
      </w:pPr>
      <w:r>
        <w:rPr>
          <w:i/>
          <w:color w:val="595959"/>
          <w:sz w:val="18"/>
        </w:rPr>
        <w:t>Peak error between the car's speed and the speed it was asked for, in metres per second. Lower is better. Typical is the middle of the 20 starting moments; worst is the worst of them.</w:t>
      </w:r>
    </w:p>
    <w:p>
      <w:pPr>
        <w:pStyle w:val="Heading2"/>
      </w:pPr>
      <w:r>
        <w:t>What this means, if it holds</w:t>
      </w:r>
    </w:p>
    <w:p>
      <w:pPr>
        <w:spacing w:after="160"/>
      </w:pPr>
      <w:r>
        <w:rPr>
          <w:i w:val="0"/>
          <w:sz w:val="24"/>
        </w:rPr>
        <w:t>The typical case and the worst case disagree, and that disagreement is the finding rather than a wrinkle in it. This is what a safety mechanism is supposed to look like: it gives up something in ordinary conditions in order to put a limit on how bad the rare case can get.</w:t>
      </w:r>
    </w:p>
    <w:p>
      <w:pPr>
        <w:spacing w:after="160"/>
      </w:pPr>
      <w:r>
        <w:rPr>
          <w:i w:val="0"/>
          <w:sz w:val="24"/>
        </w:rPr>
        <w:t>So the prediction is that A4 will NOT come back empty, and that it will point the opposite way from the obvious reading. Switching the safety handling off should make the typical tracking better, not worse, and the handling only repays its cost in the worst case once an outage lasts about 5 seconds.</w:t>
      </w:r>
    </w:p>
    <w:p>
      <w:pPr>
        <w:spacing w:after="160"/>
      </w:pPr>
      <w:r>
        <w:rPr>
          <w:i w:val="0"/>
          <w:sz w:val="24"/>
        </w:rPr>
        <w:t>Reporting that as the failure handling having turned out to be useless would be a misreading, and it is worth stating plainly in advance because it is the misreading the headline number invites. The handling was never there to improve tracking. It is there so that a controller which has lost contact with the car stops acting confidently on information it knows is stale.</w:t>
      </w:r>
    </w:p>
    <w:p>
      <w:pPr>
        <w:pStyle w:val="Heading2"/>
      </w:pPr>
      <w:r>
        <w:t>Two things the prediction rules out</w:t>
      </w:r>
    </w:p>
    <w:p>
      <w:pPr>
        <w:pStyle w:val="ListBullet"/>
        <w:spacing w:after="80"/>
      </w:pPr>
      <w:r>
        <w:t>Electrical stress does not distinguish the two. The largest battery current is 158.9 amps with the handling on and 159.2 amps with it off, across every outage length. Any argument that the handling protects the battery should not be made from these numbers.</w:t>
      </w:r>
    </w:p>
    <w:p>
      <w:pPr>
        <w:pStyle w:val="ListBullet"/>
        <w:spacing w:after="80"/>
      </w:pPr>
      <w:r>
        <w:t>The absolute error figures are optimistic and should not be quoted on their own. The laptop model computes its feed-forward command from the same vehicle it then simulates, so the model is perfect in a way no real vehicle is, and the feedback term has less work to do than it would on the road. The comparison between the two columns carries over to the hardware; the size of the numbers is a floor.</w:t>
      </w:r>
    </w:p>
    <w:p>
      <w:pPr>
        <w:pStyle w:val="Heading2"/>
      </w:pPr>
      <w:r>
        <w:t>What would prove this prediction wrong</w:t>
      </w:r>
    </w:p>
    <w:p>
      <w:pPr>
        <w:spacing w:after="160"/>
      </w:pPr>
      <w:r>
        <w:rPr>
          <w:i w:val="0"/>
          <w:sz w:val="24"/>
        </w:rPr>
        <w:t>Stated now so that the hardware run settles the question instead of being interpreted against it afterwards.</w:t>
      </w:r>
    </w:p>
    <w:p>
      <w:pPr>
        <w:pStyle w:val="ListBullet"/>
        <w:spacing w:after="80"/>
      </w:pPr>
      <w:r>
        <w:t>The hardware campaign interrupts the laptop for exactly one second, which is the row this turns on. The prediction for that row is 0.031 metres per second with the handling off against 0.363 with it on, a factor of 12. If the measured error with the handling off comes back larger rather than smaller, the prediction is wrong.</w:t>
      </w:r>
    </w:p>
    <w:p>
      <w:pPr>
        <w:pStyle w:val="ListBullet"/>
        <w:spacing w:after="80"/>
      </w:pPr>
      <w:r>
        <w:t>If the count of control loops that miss their own deadline moves away from zero in either build, then the loop is failing to keep its own timing and every comparison above is measuring something else.</w:t>
      </w:r>
    </w:p>
    <w:p>
      <w:pPr>
        <w:pStyle w:val="ListBullet"/>
        <w:spacing w:after="80"/>
      </w:pPr>
      <w:r>
        <w:t>The simulated car is noiseless and its timing is exact. The real loop has measured timing jitter and a real serial link, so the measured spread should come out wider than the simulated spread, not narrower. A narrower spread on hardware would mean the simulation is missing something rather than that the hardware is unusually good.</w:t>
      </w:r>
    </w:p>
    <w:p>
      <w:pPr>
        <w:pStyle w:val="Heading1"/>
      </w:pPr>
      <w:r>
        <w:t>20.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3" name="Picture 13"/>
            <wp:cNvGraphicFramePr>
              <a:graphicFrameLocks noChangeAspect="1"/>
            </wp:cNvGraphicFramePr>
            <a:graphic>
              <a:graphicData uri="http://schemas.openxmlformats.org/drawingml/2006/picture">
                <pic:pic>
                  <pic:nvPicPr>
                    <pic:cNvPr id="0" name="week8-sac.png"/>
                    <pic:cNvPicPr/>
                  </pic:nvPicPr>
                  <pic:blipFill>
                    <a:blip r:embed="rId21"/>
                    <a:stretch>
                      <a:fillRect/>
                    </a:stretch>
                  </pic:blipFill>
                  <pic:spPr>
                    <a:xfrm>
                      <a:off x="0" y="0"/>
                      <a:ext cx="5852160" cy="2239087"/>
                    </a:xfrm>
                    <a:prstGeom prst="rect"/>
                  </pic:spPr>
                </pic:pic>
              </a:graphicData>
            </a:graphic>
          </wp:inline>
        </w:drawing>
      </w:r>
    </w:p>
    <w:p>
      <w:pPr>
        <w:spacing w:after="240"/>
        <w:jc w:val="center"/>
      </w:pPr>
      <w:r>
        <w:rPr>
          <w:i/>
          <w:color w:val="595959"/>
          <w:sz w:val="18"/>
        </w:rPr>
        <w:t>Figure 13.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16's open question and is still the supervisor's to take.</w:t>
      </w:r>
    </w:p>
    <w:p>
      <w:pPr>
        <w:pStyle w:val="Heading1"/>
      </w:pPr>
      <w:r>
        <w:t>21.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22 records it.</w:t>
      </w:r>
    </w:p>
    <w:p>
      <w:pPr>
        <w:pStyle w:val="Heading1"/>
      </w:pPr>
      <w:r>
        <w:t>22.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20.</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A model 27 times bigger is not better</w:t>
      </w:r>
    </w:p>
    <w:p>
      <w:pPr>
        <w:spacing w:after="160"/>
      </w:pPr>
      <w:r>
        <w:rPr>
          <w:i w:val="0"/>
          <w:sz w:val="24"/>
        </w:rPr>
        <w:t>The last piece of the 8-bit experiment trained a deliberately oversized model to teach the small one. The teaching changed nothing measurable, and the reason is that the big model was not better than the small one to begin with: 27 times the parameters, and slightly worse. Every model tried falls within 0.89% of the others, which is less than what converting to 8-bit costs. Section 14.</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16,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23.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and the worst round trip fell from 7,405 microseconds to 77.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24. What is left to do</w:t>
      </w:r>
    </w:p>
    <w:p>
      <w:pPr>
        <w:spacing w:after="160"/>
      </w:pPr>
      <w:r>
        <w:rPr>
          <w:i w:val="0"/>
          <w:sz w:val="24"/>
        </w:rPr>
        <w:t>Phase 1 and Phase 2 are complete. The remaining work is the controller, the on-chip deployment, and the measurement campaign.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DONE: the distilled student, which came back empty because the teacher is no better than its students. Section 14</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16</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Tune the reward function. Held back deliberately: tuning the reward of a controller that is chasing a constant has no destination until the question in section 16 is settled</w:t>
            </w:r>
          </w:p>
        </w:tc>
        <w:tc>
          <w:tcPr>
            <w:tcW w:type="dxa" w:w="3600"/>
          </w:tcPr>
          <w:p>
            <w:r/>
            <w:r>
              <w:rPr>
                <w:sz w:val="20"/>
              </w:rPr>
              <w:t>PARTLY DONE: ablation A4's firmware builds, its measurement script is written with its expectations fixed in advance, and its outcome is predicted in section 19. The run itself, and the full system on the chip, need the board</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carry real risk</w:t>
      </w:r>
    </w:p>
    <w:p>
      <w:pPr>
        <w:pStyle w:val="ListBullet"/>
        <w:spacing w:after="80"/>
      </w:pPr>
      <w:r>
        <w:t>A3 asks whether the forecast actually improves control. If removing it changes nothing, the entire prediction stack is decorative on the chip and the paper will say so. That is a publishable finding about preview horizons in embedded energy management, and it would free the memory for other uses. It is planned and it will be run.</w:t>
      </w:r>
    </w:p>
    <w:p>
      <w:pPr>
        <w:pStyle w:val="ListBullet"/>
        <w:spacing w:after="80"/>
      </w:pPr>
      <w:r>
        <w:t>Reinforcement learning is the identified skill gap and it is genuinely temperamental. A full ramp-up week is scheduled before the real training. If it does not converge, the conventional controller and the offline optimum are guaranteed working comparisons, so the paper survives.</w:t>
      </w:r>
    </w:p>
    <w:p>
      <w:pPr>
        <w:pStyle w:val="Heading2"/>
      </w:pPr>
      <w:r>
        <w:t>Decisions waiting on a gate or on the supervisor</w:t>
      </w:r>
    </w:p>
    <w:p>
      <w:pPr>
        <w:pStyle w:val="ListBullet"/>
        <w:spacing w:after="80"/>
      </w:pPr>
      <w:r>
        <w:t>What to do about the missing headroom in the energy-management problem, described in section 16. This is the one that should be settled first, because weeks 8 and 9 are built on top of it.</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Which model to deploy. The Transformer is the most accurate and fits. The linear regression reaches 87% of the benefit for 1.2% of the cost. Ablation A3 decides whether the difference matters to the controller.</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ListBullet"/>
        <w:spacing w:after="80"/>
      </w:pPr>
      <w:r>
        <w:t>Whether the firmware should be built with arduino-cli instead of the Espressif toolchain. This was asked for and has not been done, because it is not a change of build command: the firmware is a native Espressif project, arduino-cli reads none of its build files or its configuration, and it has no equivalent of the compile-time switches that every ablation depends on. That configuration is also what disables the radios, which the timing and current measurements require. A port would mean re-measuring gates G1, G3 and G5 on the board, since all three were taken under a setup a port replaces. Flashing with arduino-cli while still building with the Espressif tools costs nothing and is assumed until decided otherwise.</w:t>
      </w:r>
    </w:p>
    <w:p>
      <w:pPr>
        <w:pStyle w:val="Heading2"/>
      </w:pPr>
      <w:r>
        <w:t>Waiting only on the board being attached</w:t>
      </w:r>
    </w:p>
    <w:p>
      <w:pPr>
        <w:spacing w:after="160"/>
      </w:pPr>
      <w:r>
        <w:rPr>
          <w:i w:val="0"/>
          <w:sz w:val="24"/>
        </w:rPr>
        <w:t>No development board was connected when this report was generated, so the following are ready rather than done. None of them is blocked on a decision.</w:t>
      </w:r>
    </w:p>
    <w:p>
      <w:pPr>
        <w:pStyle w:val="ListBullet"/>
        <w:spacing w:after="80"/>
      </w:pPr>
      <w:r>
        <w:t>Ablation A4's measurement run. The firmware builds, the measurement script is written, its expectations are fixed in advance, and the result is predicted in section 19. One command once the board is plugged in.</w:t>
      </w:r>
    </w:p>
    <w:p>
      <w:pPr>
        <w:pStyle w:val="ListBullet"/>
        <w:spacing w:after="80"/>
      </w:pPr>
      <w:r>
        <w:t>The full system running on the chip together, rather than the controller and the forecaster measured one at a time.</w:t>
      </w:r>
    </w:p>
    <w:p>
      <w:pPr>
        <w:pStyle w:val="ListBullet"/>
        <w:spacing w:after="80"/>
      </w:pPr>
      <w:r>
        <w:t>The measurement campaign in week 10, which needs the board and needs the deployment question settled first.</w:t>
      </w:r>
    </w:p>
    <w:p>
      <w:pPr>
        <w:pStyle w:val="Heading1"/>
      </w:pPr>
      <w:r>
        <w:t>25.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the firmware</w:t>
            </w:r>
          </w:p>
        </w:tc>
        <w:tc>
          <w:tcPr>
            <w:tcW w:type="dxa" w:w="5760"/>
          </w:tcPr>
          <w:p>
            <w:r/>
            <w:r>
              <w:rPr>
                <w:sz w:val="20"/>
              </w:rPr>
              <w:t>./scripts/idf.sh build</w:t>
            </w:r>
          </w:p>
        </w:tc>
      </w:tr>
      <w:tr>
        <w:tc>
          <w:tcPr>
            <w:tcW w:type="dxa" w:w="3456"/>
          </w:tcPr>
          <w:p>
            <w:r/>
            <w:r>
              <w:rPr>
                <w:sz w:val="20"/>
              </w:rPr>
              <w:t>Fault-injection build</w:t>
            </w:r>
          </w:p>
        </w:tc>
        <w:tc>
          <w:tcPr>
            <w:tcW w:type="dxa" w:w="5760"/>
          </w:tcPr>
          <w:p>
            <w:r/>
            <w:r>
              <w:rPr>
                <w:sz w:val="20"/>
              </w:rPr>
              <w:t>./scripts/idf.sh -DFAULT_INJECT=1 build &amp;&amp; ./scripts/idf.sh flash</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8-bit arithmetic, ablation A2 rungs one and two</w:t>
            </w:r>
          </w:p>
        </w:tc>
        <w:tc>
          <w:tcPr>
            <w:tcW w:type="dxa" w:w="5760"/>
          </w:tcPr>
          <w:p>
            <w:r/>
            <w:r>
              <w:rPr>
                <w:sz w:val="20"/>
              </w:rPr>
              <w:t>python3 scripts/run_a2.py</w:t>
            </w:r>
          </w:p>
        </w:tc>
      </w:tr>
      <w:tr>
        <w:tc>
          <w:tcPr>
            <w:tcW w:type="dxa" w:w="3456"/>
          </w:tcPr>
          <w:p>
            <w:r/>
            <w:r>
              <w:rPr>
                <w:sz w:val="20"/>
              </w:rPr>
              <w:t>Distilled students, ablation A2 rung three</w:t>
            </w:r>
          </w:p>
        </w:tc>
        <w:tc>
          <w:tcPr>
            <w:tcW w:type="dxa" w:w="5760"/>
          </w:tcPr>
          <w:p>
            <w:r/>
            <w:r>
              <w:rPr>
                <w:sz w:val="20"/>
              </w:rPr>
              <w:t>python3 scripts/run_distill.py</w:t>
            </w:r>
          </w:p>
        </w:tc>
      </w:tr>
      <w:tr>
        <w:tc>
          <w:tcPr>
            <w:tcW w:type="dxa" w:w="3456"/>
          </w:tcPr>
          <w:p>
            <w:r/>
            <w:r>
              <w:rPr>
                <w:sz w:val="20"/>
              </w:rPr>
              <w:t>Ablation A4 build (handling off)</w:t>
            </w:r>
          </w:p>
        </w:tc>
        <w:tc>
          <w:tcPr>
            <w:tcW w:type="dxa" w:w="5760"/>
          </w:tcPr>
          <w:p>
            <w:r/>
            <w:r>
              <w:rPr>
                <w:sz w:val="20"/>
              </w:rPr>
              <w:t>./scripts/idf.sh -DFAULT_INJECT=1 -DFALLBACK_ENABLED=0 build</w:t>
            </w:r>
          </w:p>
        </w:tc>
      </w:tr>
      <w:tr>
        <w:tc>
          <w:tcPr>
            <w:tcW w:type="dxa" w:w="3456"/>
          </w:tcPr>
          <w:p>
            <w:r/>
            <w:r>
              <w:rPr>
                <w:sz w:val="20"/>
              </w:rPr>
              <w:t>Ablation A4 on hardware</w:t>
            </w:r>
          </w:p>
        </w:tc>
        <w:tc>
          <w:tcPr>
            <w:tcW w:type="dxa" w:w="5760"/>
          </w:tcPr>
          <w:p>
            <w:r/>
            <w:r>
              <w:rPr>
                <w:sz w:val="20"/>
              </w:rPr>
              <w:t>python3 scripts/run_fallback.py --fallback-off</w:t>
            </w:r>
          </w:p>
        </w:tc>
      </w:tr>
      <w:tr>
        <w:tc>
          <w:tcPr>
            <w:tcW w:type="dxa" w:w="3456"/>
          </w:tcPr>
          <w:p>
            <w:r/>
            <w:r>
              <w:rPr>
                <w:sz w:val="20"/>
              </w:rPr>
              <w:t>Ablation A4 predicted on the laptop</w:t>
            </w:r>
          </w:p>
        </w:tc>
        <w:tc>
          <w:tcPr>
            <w:tcW w:type="dxa" w:w="5760"/>
          </w:tcPr>
          <w:p>
            <w:r/>
            <w:r>
              <w:rPr>
                <w:sz w:val="20"/>
              </w:rPr>
              <w:t>python3 scripts/predict_a4.py</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407 tests, all passing, including ones that drive the controller and the learned policy in C and in Python through identical inputs and require them to agree, and ones that read the firmware's own compile-time switches back out of its headers so that the scripts describing them cannot drift from what is compiled.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