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6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29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deployed learned controller, before and after the fix. SIMULATED on the laptop.</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To be re-measured: the learned-controller runs of the failure-handling sweep in section 25, where the ceiling also bound.</w:t>
      </w:r>
    </w:p>
    <w:p>
      <w:pPr>
        <w:pStyle w:val="Heading2"/>
      </w:pPr>
      <w:r>
        <w:t>The campaign again, on the corrected model</w:t>
      </w:r>
    </w:p>
    <w:p>
      <w:pPr>
        <w:spacing w:after="160"/>
      </w:pPr>
      <w:r>
        <w:rPr>
          <w:i/>
          <w:color w:val="595959"/>
          <w:sz w:val="24"/>
        </w:rPr>
        <w:t>The campaign was being re-run on the board against the corrected model when this report was generated.</w:t>
      </w:r>
    </w:p>
    <w:p>
      <w:pPr>
        <w:pStyle w:val="Heading1"/>
      </w:pPr>
      <w:r>
        <w:t>29.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30.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31.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32.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462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