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31 August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18.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14 explains why that distinction matters.</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8" name="Picture 8"/>
            <wp:cNvGraphicFramePr>
              <a:graphicFrameLocks noChangeAspect="1"/>
            </wp:cNvGraphicFramePr>
            <a:graphic>
              <a:graphicData uri="http://schemas.openxmlformats.org/drawingml/2006/picture">
                <pic:pic>
                  <pic:nvPicPr>
                    <pic:cNvPr id="0" name="g3-jitter.png"/>
                    <pic:cNvPicPr/>
                  </pic:nvPicPr>
                  <pic:blipFill>
                    <a:blip r:embed="rId16"/>
                    <a:stretch>
                      <a:fillRect/>
                    </a:stretch>
                  </pic:blipFill>
                  <pic:spPr>
                    <a:xfrm>
                      <a:off x="0" y="0"/>
                      <a:ext cx="5852160" cy="2048256"/>
                    </a:xfrm>
                    <a:prstGeom prst="rect"/>
                  </pic:spPr>
                </pic:pic>
              </a:graphicData>
            </a:graphic>
          </wp:inline>
        </w:drawing>
      </w:r>
    </w:p>
    <w:p>
      <w:pPr>
        <w:spacing w:after="240"/>
        <w:jc w:val="center"/>
      </w:pPr>
      <w:r>
        <w:rPr>
          <w:i/>
          <w:color w:val="595959"/>
          <w:sz w:val="18"/>
        </w:rPr>
        <w:t>Figure 8.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15.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9" name="Picture 9"/>
            <wp:cNvGraphicFramePr>
              <a:graphicFrameLocks noChangeAspect="1"/>
            </wp:cNvGraphicFramePr>
            <a:graphic>
              <a:graphicData uri="http://schemas.openxmlformats.org/drawingml/2006/picture">
                <pic:pic>
                  <pic:nvPicPr>
                    <pic:cNvPr id="0" name="week7-control.png"/>
                    <pic:cNvPicPr/>
                  </pic:nvPicPr>
                  <pic:blipFill>
                    <a:blip r:embed="rId17"/>
                    <a:stretch>
                      <a:fillRect/>
                    </a:stretch>
                  </pic:blipFill>
                  <pic:spPr>
                    <a:xfrm>
                      <a:off x="0" y="0"/>
                      <a:ext cx="5852160" cy="2239087"/>
                    </a:xfrm>
                    <a:prstGeom prst="rect"/>
                  </pic:spPr>
                </pic:pic>
              </a:graphicData>
            </a:graphic>
          </wp:inline>
        </w:drawing>
      </w:r>
    </w:p>
    <w:p>
      <w:pPr>
        <w:spacing w:after="240"/>
        <w:jc w:val="center"/>
      </w:pPr>
      <w:r>
        <w:rPr>
          <w:i/>
          <w:color w:val="595959"/>
          <w:sz w:val="18"/>
        </w:rPr>
        <w:t>Figure 9.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0" name="Picture 10"/>
            <wp:cNvGraphicFramePr>
              <a:graphicFrameLocks noChangeAspect="1"/>
            </wp:cNvGraphicFramePr>
            <a:graphic>
              <a:graphicData uri="http://schemas.openxmlformats.org/drawingml/2006/picture">
                <pic:pic>
                  <pic:nvPicPr>
                    <pic:cNvPr id="0" name="week7-pid-robustness.png"/>
                    <pic:cNvPicPr/>
                  </pic:nvPicPr>
                  <pic:blipFill>
                    <a:blip r:embed="rId18"/>
                    <a:stretch>
                      <a:fillRect/>
                    </a:stretch>
                  </pic:blipFill>
                  <pic:spPr>
                    <a:xfrm>
                      <a:off x="0" y="0"/>
                      <a:ext cx="5852160" cy="3080084"/>
                    </a:xfrm>
                    <a:prstGeom prst="rect"/>
                  </pic:spPr>
                </pic:pic>
              </a:graphicData>
            </a:graphic>
          </wp:inline>
        </w:drawing>
      </w:r>
    </w:p>
    <w:p>
      <w:pPr>
        <w:spacing w:after="240"/>
        <w:jc w:val="center"/>
      </w:pPr>
      <w:r>
        <w:rPr>
          <w:i/>
          <w:color w:val="595959"/>
          <w:sz w:val="18"/>
        </w:rPr>
        <w:t>Figure 10.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16.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17.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will be a rebuild rather than a reconstruction.</w:t>
      </w:r>
    </w:p>
    <w:p>
      <w:pPr>
        <w:pStyle w:val="Heading1"/>
      </w:pPr>
      <w:r>
        <w:t>18.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1" name="Picture 11"/>
            <wp:cNvGraphicFramePr>
              <a:graphicFrameLocks noChangeAspect="1"/>
            </wp:cNvGraphicFramePr>
            <a:graphic>
              <a:graphicData uri="http://schemas.openxmlformats.org/drawingml/2006/picture">
                <pic:pic>
                  <pic:nvPicPr>
                    <pic:cNvPr id="0" name="week8-sac.png"/>
                    <pic:cNvPicPr/>
                  </pic:nvPicPr>
                  <pic:blipFill>
                    <a:blip r:embed="rId19"/>
                    <a:stretch>
                      <a:fillRect/>
                    </a:stretch>
                  </pic:blipFill>
                  <pic:spPr>
                    <a:xfrm>
                      <a:off x="0" y="0"/>
                      <a:ext cx="5852160" cy="2239087"/>
                    </a:xfrm>
                    <a:prstGeom prst="rect"/>
                  </pic:spPr>
                </pic:pic>
              </a:graphicData>
            </a:graphic>
          </wp:inline>
        </w:drawing>
      </w:r>
    </w:p>
    <w:p>
      <w:pPr>
        <w:spacing w:after="240"/>
        <w:jc w:val="center"/>
      </w:pPr>
      <w:r>
        <w:rPr>
          <w:i/>
          <w:color w:val="595959"/>
          <w:sz w:val="18"/>
        </w:rPr>
        <w:t>Figure 11.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15's open question and is still the supervisor's to take.</w:t>
      </w:r>
    </w:p>
    <w:p>
      <w:pPr>
        <w:pStyle w:val="Heading1"/>
      </w:pPr>
      <w:r>
        <w:t>19.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20 records it.</w:t>
      </w:r>
    </w:p>
    <w:p>
      <w:pPr>
        <w:pStyle w:val="Heading1"/>
      </w:pPr>
      <w:r>
        <w:t>20.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18.</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15,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21.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22.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Still to do: distil to a smaller student model</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15</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w:t>
            </w:r>
          </w:p>
        </w:tc>
        <w:tc>
          <w:tcPr>
            <w:tcW w:type="dxa" w:w="3600"/>
          </w:tcPr>
          <w:p>
            <w:r/>
            <w:r>
              <w:rPr>
                <w:sz w:val="20"/>
              </w:rPr>
              <w:t>Full system on the chip; ablation A4</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15.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1"/>
      </w:pPr>
      <w:r>
        <w:t>23.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387 tests, all passing, including ones that drive the controller and the learned policy in C and in Python through identical inputs and require them to agree.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