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8"/>
        </w:rPr>
        <w:t>MANIKANTA BIKKINA</w:t>
      </w:r>
    </w:p>
    <w:p>
      <w:pPr>
        <w:spacing w:after="0"/>
        <w:jc w:val="center"/>
      </w:pPr>
      <w:r>
        <w:rPr>
          <w:b/>
          <w:sz w:val="20"/>
        </w:rPr>
        <w:t>Senior Analyst | Capgemini | Bangalore, India</w:t>
      </w:r>
    </w:p>
    <w:p>
      <w:pPr>
        <w:spacing w:after="100"/>
        <w:jc w:val="center"/>
      </w:pPr>
      <w:r>
        <w:rPr>
          <w:sz w:val="18"/>
        </w:rPr>
        <w:t>DevOps | Cloud | Kubernetes | CI/CD | Infrastructure Automation</w:t>
      </w:r>
    </w:p>
    <w:p>
      <w:pPr>
        <w:spacing w:before="140" w:after="60"/>
        <w:pBdr>
          <w:bottom w:val="single" w:sz="6" w:space="2" w:color="808080"/>
        </w:pBdr>
      </w:pPr>
      <w:r>
        <w:rPr>
          <w:b/>
          <w:sz w:val="21"/>
        </w:rPr>
        <w:t>PROFESSIONAL SUMMARY</w:t>
      </w:r>
    </w:p>
    <w:p>
      <w:pPr>
        <w:spacing w:after="60"/>
      </w:pPr>
      <w:r>
        <w:t>Senior Analyst at Capgemini with 3+ years of professional experience and a strong focus on DevOps, Cloud, Kubernetes, and Infrastructure Automation. Knowledgeable in AWS, Microsoft Azure, and Google Cloud Platform (GCP), with hands-on practice through technical projects covering CI/CD, containerization, Kubernetes, Infrastructure as Code, GitOps, monitoring, and DevSecOps. Skilled in Jenkins, Docker, Kubernetes, Terraform, Argo CD, Prometheus, Grafana, SonarQube, and Trivy. GCP certified in Professional Cloud Developer, Associate Cloud Engineer, and Cloud Digital Leader. Seeking an internal technical opportunity within Capgemini to contribute to a DevOps/Cloud engineering team.</w:t>
      </w:r>
    </w:p>
    <w:p>
      <w:pPr>
        <w:spacing w:before="140" w:after="60"/>
        <w:pBdr>
          <w:bottom w:val="single" w:sz="6" w:space="2" w:color="808080"/>
        </w:pBdr>
      </w:pPr>
      <w:r>
        <w:rPr>
          <w:b/>
          <w:sz w:val="21"/>
        </w:rPr>
        <w:t>CAREER OBJECTIVE</w:t>
      </w:r>
    </w:p>
    <w:p>
      <w:pPr>
        <w:spacing w:after="40"/>
      </w:pPr>
      <w:r>
        <w:t>Seeking an opportunity within Capgemini to transition into a DevOps/Cloud Engineering role, leveraging my knowledge of AWS, Azure, GCP, Kubernetes, Jenkins, Docker, Terraform, Argo CD, Prometheus, Grafana, and DevSecOps tools to contribute to a technical engineering project.</w:t>
      </w:r>
    </w:p>
    <w:p>
      <w:pPr>
        <w:spacing w:after="40"/>
      </w:pPr>
      <w:r>
        <w:rPr>
          <w:b/>
        </w:rPr>
        <w:t>Preferred Location: Bangalore</w:t>
      </w:r>
    </w:p>
    <w:p>
      <w:pPr>
        <w:spacing w:before="140" w:after="60"/>
        <w:pBdr>
          <w:bottom w:val="single" w:sz="6" w:space="2" w:color="808080"/>
        </w:pBdr>
      </w:pPr>
      <w:r>
        <w:rPr>
          <w:b/>
          <w:sz w:val="21"/>
        </w:rPr>
        <w:t>PROFESSIONAL EXPERIENCE</w:t>
      </w:r>
    </w:p>
    <w:p>
      <w:pPr>
        <w:spacing w:after="20"/>
      </w:pPr>
      <w:r>
        <w:rPr>
          <w:b/>
          <w:sz w:val="21"/>
        </w:rPr>
        <w:t>CAPGEMINI | Bangalore, India</w:t>
      </w:r>
    </w:p>
    <w:p>
      <w:pPr>
        <w:spacing w:after="40"/>
      </w:pPr>
      <w:r>
        <w:rPr>
          <w:b/>
        </w:rPr>
        <w:t>Senior Analyst | October 2022 – Present</w:t>
      </w:r>
    </w:p>
    <w:p>
      <w:pPr>
        <w:pStyle w:val="ListBullet"/>
        <w:spacing w:after="30"/>
        <w:ind w:left="288" w:hanging="115"/>
      </w:pPr>
      <w:r>
        <w:t>Currently working in an L1.5 Monitoring project, supporting operational monitoring activities.</w:t>
      </w:r>
    </w:p>
    <w:p>
      <w:pPr>
        <w:pStyle w:val="ListBullet"/>
        <w:spacing w:after="30"/>
        <w:ind w:left="288" w:hanging="115"/>
      </w:pPr>
      <w:r>
        <w:t>Building and strengthening DevOps, Cloud, Kubernetes, CI/CD, and Infrastructure Automation capabilities through self-directed technical projects.</w:t>
      </w:r>
    </w:p>
    <w:p>
      <w:pPr>
        <w:pStyle w:val="ListBullet"/>
        <w:spacing w:after="30"/>
        <w:ind w:left="288" w:hanging="115"/>
      </w:pPr>
      <w:r>
        <w:t>Seeking internal mobility into a technical DevOps/Cloud project to apply and further develop engineering skills.</w:t>
      </w:r>
    </w:p>
    <w:p>
      <w:pPr>
        <w:spacing w:before="140" w:after="60"/>
        <w:pBdr>
          <w:bottom w:val="single" w:sz="6" w:space="2" w:color="808080"/>
        </w:pBdr>
      </w:pPr>
      <w:r>
        <w:rPr>
          <w:b/>
          <w:sz w:val="21"/>
        </w:rPr>
        <w:t>TECHNICAL PROJECTS</w:t>
      </w:r>
    </w:p>
    <w:p>
      <w:pPr>
        <w:spacing w:after="20"/>
      </w:pPr>
      <w:r>
        <w:rPr>
          <w:b/>
          <w:sz w:val="20"/>
        </w:rPr>
        <w:t>Containerized CI/CD Pipeline for a Microservices Application</w:t>
      </w:r>
    </w:p>
    <w:p>
      <w:pPr>
        <w:pStyle w:val="ListBullet"/>
        <w:spacing w:after="30"/>
        <w:ind w:left="288" w:hanging="115"/>
      </w:pPr>
      <w:r>
        <w:t>Built a Jenkins CI/CD pipeline for a sample Node.js web application, triggered by code commits.</w:t>
      </w:r>
    </w:p>
    <w:p>
      <w:pPr>
        <w:pStyle w:val="ListBullet"/>
        <w:spacing w:after="30"/>
        <w:ind w:left="288" w:hanging="115"/>
      </w:pPr>
      <w:r>
        <w:t>Configured pipeline stages for Git checkout, SonarQube static analysis, quality-gate validation, OWASP Dependency-Check, Trivy filesystem/image scanning, and Docker image build and push.</w:t>
      </w:r>
    </w:p>
    <w:p>
      <w:pPr>
        <w:pStyle w:val="ListBullet"/>
        <w:spacing w:after="30"/>
        <w:ind w:left="288" w:hanging="115"/>
      </w:pPr>
      <w:r>
        <w:t>Practiced Kubernetes deployment using a KOPS-managed cluster on AWS EC2, including Pods, Deployments, Services, and Ingress.</w:t>
      </w:r>
    </w:p>
    <w:p>
      <w:pPr>
        <w:pStyle w:val="ListBullet"/>
        <w:spacing w:after="30"/>
        <w:ind w:left="288" w:hanging="115"/>
      </w:pPr>
      <w:r>
        <w:t>Configured Prometheus and Grafana for application and cluster monitoring and explored Argo CD for GitOps-based deployments.</w:t>
      </w:r>
    </w:p>
    <w:p>
      <w:pPr>
        <w:spacing w:before="80" w:after="20"/>
      </w:pPr>
      <w:r>
        <w:rPr>
          <w:b/>
          <w:sz w:val="20"/>
        </w:rPr>
        <w:t>AWS Infrastructure Automation &amp; Monitoring</w:t>
      </w:r>
    </w:p>
    <w:p>
      <w:pPr>
        <w:pStyle w:val="ListBullet"/>
        <w:spacing w:after="30"/>
        <w:ind w:left="288" w:hanging="115"/>
      </w:pPr>
      <w:r>
        <w:t>Practiced provisioning AWS EC2 infrastructure using Terraform and storing Terraform state in Amazon S3.</w:t>
      </w:r>
    </w:p>
    <w:p>
      <w:pPr>
        <w:pStyle w:val="ListBullet"/>
        <w:spacing w:after="30"/>
        <w:ind w:left="288" w:hanging="115"/>
      </w:pPr>
      <w:r>
        <w:t>Built a Jenkins pipeline to automate infrastructure and deployment steps and integrated Slack for build and deployment notifications.</w:t>
      </w:r>
    </w:p>
    <w:p>
      <w:pPr>
        <w:pStyle w:val="ListBullet"/>
        <w:spacing w:after="30"/>
        <w:ind w:left="288" w:hanging="115"/>
      </w:pPr>
      <w:r>
        <w:t>Configured Prometheus and Grafana to practice infrastructure and application monitoring, metrics collection, dashboards, and basic alerting concepts.</w:t>
      </w:r>
    </w:p>
    <w:p>
      <w:pPr>
        <w:pStyle w:val="ListBullet"/>
        <w:spacing w:after="30"/>
        <w:ind w:left="288" w:hanging="115"/>
      </w:pPr>
      <w:r>
        <w:t>Used Splunk to collect and review Jenkins build logs for basic observability and troubleshooting practice.</w:t>
      </w:r>
    </w:p>
    <w:p>
      <w:pPr>
        <w:spacing w:before="140" w:after="60"/>
        <w:pBdr>
          <w:bottom w:val="single" w:sz="6" w:space="2" w:color="808080"/>
        </w:pBdr>
      </w:pPr>
      <w:r>
        <w:rPr>
          <w:b/>
          <w:sz w:val="21"/>
        </w:rP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2376"/>
            <w:vAlign w:val="center"/>
            <w:tcMar>
              <w:top w:w="55" w:type="dxa"/>
              <w:start w:w="55" w:type="dxa"/>
              <w:bottom w:w="55" w:type="dxa"/>
              <w:end w:w="55" w:type="dxa"/>
            </w:tcMar>
          </w:tcPr>
          <w:p>
            <w:pPr>
              <w:spacing w:after="0"/>
            </w:pPr>
            <w:r>
              <w:rPr>
                <w:b/>
              </w:rPr>
              <w:t>Cloud Platforms</w:t>
            </w:r>
          </w:p>
        </w:tc>
        <w:tc>
          <w:tcPr>
            <w:tcW w:type="dxa" w:w="8352"/>
            <w:vAlign w:val="center"/>
            <w:tcMar>
              <w:top w:w="55" w:type="dxa"/>
              <w:start w:w="55" w:type="dxa"/>
              <w:bottom w:w="55" w:type="dxa"/>
              <w:end w:w="55" w:type="dxa"/>
            </w:tcMar>
          </w:tcPr>
          <w:p>
            <w:pPr>
              <w:spacing w:after="0"/>
            </w:pPr>
            <w:r>
              <w:t>AWS (EC2, S3, IAM), Microsoft Azure, Google Cloud Platform (GCP)</w:t>
            </w:r>
          </w:p>
        </w:tc>
      </w:tr>
      <w:tr>
        <w:tc>
          <w:tcPr>
            <w:tcW w:type="dxa" w:w="2376"/>
            <w:vAlign w:val="center"/>
            <w:tcMar>
              <w:top w:w="55" w:type="dxa"/>
              <w:start w:w="55" w:type="dxa"/>
              <w:bottom w:w="55" w:type="dxa"/>
              <w:end w:w="55" w:type="dxa"/>
            </w:tcMar>
          </w:tcPr>
          <w:p>
            <w:pPr>
              <w:spacing w:after="0"/>
            </w:pPr>
            <w:r>
              <w:rPr>
                <w:b/>
              </w:rPr>
              <w:t>CI/CD &amp; DevOps</w:t>
            </w:r>
          </w:p>
        </w:tc>
        <w:tc>
          <w:tcPr>
            <w:tcW w:type="dxa" w:w="8352"/>
            <w:vAlign w:val="center"/>
            <w:tcMar>
              <w:top w:w="55" w:type="dxa"/>
              <w:start w:w="55" w:type="dxa"/>
              <w:bottom w:w="55" w:type="dxa"/>
              <w:end w:w="55" w:type="dxa"/>
            </w:tcMar>
          </w:tcPr>
          <w:p>
            <w:pPr>
              <w:spacing w:after="0"/>
            </w:pPr>
            <w:r>
              <w:t>Jenkins, Git, GitHub, Docker, CI/CD pipelines</w:t>
            </w:r>
          </w:p>
        </w:tc>
      </w:tr>
      <w:tr>
        <w:tc>
          <w:tcPr>
            <w:tcW w:type="dxa" w:w="2376"/>
            <w:vAlign w:val="center"/>
            <w:tcMar>
              <w:top w:w="55" w:type="dxa"/>
              <w:start w:w="55" w:type="dxa"/>
              <w:bottom w:w="55" w:type="dxa"/>
              <w:end w:w="55" w:type="dxa"/>
            </w:tcMar>
          </w:tcPr>
          <w:p>
            <w:pPr>
              <w:spacing w:after="0"/>
            </w:pPr>
            <w:r>
              <w:rPr>
                <w:b/>
              </w:rPr>
              <w:t>Kubernetes</w:t>
            </w:r>
          </w:p>
        </w:tc>
        <w:tc>
          <w:tcPr>
            <w:tcW w:type="dxa" w:w="8352"/>
            <w:vAlign w:val="center"/>
            <w:tcMar>
              <w:top w:w="55" w:type="dxa"/>
              <w:start w:w="55" w:type="dxa"/>
              <w:bottom w:w="55" w:type="dxa"/>
              <w:end w:w="55" w:type="dxa"/>
            </w:tcMar>
          </w:tcPr>
          <w:p>
            <w:pPr>
              <w:spacing w:after="0"/>
            </w:pPr>
            <w:r>
              <w:t>Kubernetes, KOPS, Pods, Deployments, Services, Ingress</w:t>
            </w:r>
          </w:p>
        </w:tc>
      </w:tr>
      <w:tr>
        <w:tc>
          <w:tcPr>
            <w:tcW w:type="dxa" w:w="2376"/>
            <w:vAlign w:val="center"/>
            <w:tcMar>
              <w:top w:w="55" w:type="dxa"/>
              <w:start w:w="55" w:type="dxa"/>
              <w:bottom w:w="55" w:type="dxa"/>
              <w:end w:w="55" w:type="dxa"/>
            </w:tcMar>
          </w:tcPr>
          <w:p>
            <w:pPr>
              <w:spacing w:after="0"/>
            </w:pPr>
            <w:r>
              <w:rPr>
                <w:b/>
              </w:rPr>
              <w:t>GitOps</w:t>
            </w:r>
          </w:p>
        </w:tc>
        <w:tc>
          <w:tcPr>
            <w:tcW w:type="dxa" w:w="8352"/>
            <w:vAlign w:val="center"/>
            <w:tcMar>
              <w:top w:w="55" w:type="dxa"/>
              <w:start w:w="55" w:type="dxa"/>
              <w:bottom w:w="55" w:type="dxa"/>
              <w:end w:w="55" w:type="dxa"/>
            </w:tcMar>
          </w:tcPr>
          <w:p>
            <w:pPr>
              <w:spacing w:after="0"/>
            </w:pPr>
            <w:r>
              <w:t>Argo CD</w:t>
            </w:r>
          </w:p>
        </w:tc>
      </w:tr>
      <w:tr>
        <w:tc>
          <w:tcPr>
            <w:tcW w:type="dxa" w:w="2376"/>
            <w:vAlign w:val="center"/>
            <w:tcMar>
              <w:top w:w="55" w:type="dxa"/>
              <w:start w:w="55" w:type="dxa"/>
              <w:bottom w:w="55" w:type="dxa"/>
              <w:end w:w="55" w:type="dxa"/>
            </w:tcMar>
          </w:tcPr>
          <w:p>
            <w:pPr>
              <w:spacing w:after="0"/>
            </w:pPr>
            <w:r>
              <w:rPr>
                <w:b/>
              </w:rPr>
              <w:t>Infrastructure as Code</w:t>
            </w:r>
          </w:p>
        </w:tc>
        <w:tc>
          <w:tcPr>
            <w:tcW w:type="dxa" w:w="8352"/>
            <w:vAlign w:val="center"/>
            <w:tcMar>
              <w:top w:w="55" w:type="dxa"/>
              <w:start w:w="55" w:type="dxa"/>
              <w:bottom w:w="55" w:type="dxa"/>
              <w:end w:w="55" w:type="dxa"/>
            </w:tcMar>
          </w:tcPr>
          <w:p>
            <w:pPr>
              <w:spacing w:after="0"/>
            </w:pPr>
            <w:r>
              <w:t>Terraform</w:t>
            </w:r>
          </w:p>
        </w:tc>
      </w:tr>
      <w:tr>
        <w:tc>
          <w:tcPr>
            <w:tcW w:type="dxa" w:w="2376"/>
            <w:vAlign w:val="center"/>
            <w:tcMar>
              <w:top w:w="55" w:type="dxa"/>
              <w:start w:w="55" w:type="dxa"/>
              <w:bottom w:w="55" w:type="dxa"/>
              <w:end w:w="55" w:type="dxa"/>
            </w:tcMar>
          </w:tcPr>
          <w:p>
            <w:pPr>
              <w:spacing w:after="0"/>
            </w:pPr>
            <w:r>
              <w:rPr>
                <w:b/>
              </w:rPr>
              <w:t>Security &amp; Code Quality</w:t>
            </w:r>
          </w:p>
        </w:tc>
        <w:tc>
          <w:tcPr>
            <w:tcW w:type="dxa" w:w="8352"/>
            <w:vAlign w:val="center"/>
            <w:tcMar>
              <w:top w:w="55" w:type="dxa"/>
              <w:start w:w="55" w:type="dxa"/>
              <w:bottom w:w="55" w:type="dxa"/>
              <w:end w:w="55" w:type="dxa"/>
            </w:tcMar>
          </w:tcPr>
          <w:p>
            <w:pPr>
              <w:spacing w:after="0"/>
            </w:pPr>
            <w:r>
              <w:t>SonarQube, Trivy, OWASP Dependency-Check</w:t>
            </w:r>
          </w:p>
        </w:tc>
      </w:tr>
      <w:tr>
        <w:tc>
          <w:tcPr>
            <w:tcW w:type="dxa" w:w="2376"/>
            <w:vAlign w:val="center"/>
            <w:tcMar>
              <w:top w:w="55" w:type="dxa"/>
              <w:start w:w="55" w:type="dxa"/>
              <w:bottom w:w="55" w:type="dxa"/>
              <w:end w:w="55" w:type="dxa"/>
            </w:tcMar>
          </w:tcPr>
          <w:p>
            <w:pPr>
              <w:spacing w:after="0"/>
            </w:pPr>
            <w:r>
              <w:rPr>
                <w:b/>
              </w:rPr>
              <w:t>Monitoring &amp; Observability</w:t>
            </w:r>
          </w:p>
        </w:tc>
        <w:tc>
          <w:tcPr>
            <w:tcW w:type="dxa" w:w="8352"/>
            <w:vAlign w:val="center"/>
            <w:tcMar>
              <w:top w:w="55" w:type="dxa"/>
              <w:start w:w="55" w:type="dxa"/>
              <w:bottom w:w="55" w:type="dxa"/>
              <w:end w:w="55" w:type="dxa"/>
            </w:tcMar>
          </w:tcPr>
          <w:p>
            <w:pPr>
              <w:spacing w:after="0"/>
            </w:pPr>
            <w:r>
              <w:t>Prometheus, Grafana, Splunk, Slack integrations</w:t>
            </w:r>
          </w:p>
        </w:tc>
      </w:tr>
    </w:tbl>
    <w:p>
      <w:pPr>
        <w:spacing w:before="140" w:after="60"/>
        <w:pBdr>
          <w:bottom w:val="single" w:sz="6" w:space="2" w:color="808080"/>
        </w:pBdr>
      </w:pPr>
      <w:r>
        <w:rPr>
          <w:b/>
          <w:sz w:val="21"/>
        </w:rPr>
        <w:t>CERTIFICATIONS</w:t>
      </w:r>
    </w:p>
    <w:p>
      <w:pPr>
        <w:pStyle w:val="ListBullet"/>
        <w:spacing w:after="30"/>
        <w:ind w:left="288" w:hanging="115"/>
      </w:pPr>
      <w:r>
        <w:t>Google Cloud Professional Cloud Developer</w:t>
      </w:r>
    </w:p>
    <w:p>
      <w:pPr>
        <w:pStyle w:val="ListBullet"/>
        <w:spacing w:after="30"/>
        <w:ind w:left="288" w:hanging="115"/>
      </w:pPr>
      <w:r>
        <w:t>Google Cloud Associate Cloud Engineer</w:t>
      </w:r>
    </w:p>
    <w:p>
      <w:pPr>
        <w:pStyle w:val="ListBullet"/>
        <w:spacing w:after="30"/>
        <w:ind w:left="288" w:hanging="115"/>
      </w:pPr>
      <w:r>
        <w:t>Google Cloud Digital Leader</w:t>
      </w:r>
    </w:p>
    <w:p>
      <w:pPr>
        <w:spacing w:before="140" w:after="60"/>
        <w:pBdr>
          <w:bottom w:val="single" w:sz="6" w:space="2" w:color="808080"/>
        </w:pBdr>
      </w:pPr>
      <w:r>
        <w:rPr>
          <w:b/>
          <w:sz w:val="21"/>
        </w:rPr>
        <w:t>EDUCATION</w:t>
      </w:r>
    </w:p>
    <w:p>
      <w:pPr>
        <w:spacing w:after="40"/>
      </w:pPr>
      <w:r>
        <w:rPr>
          <w:b/>
        </w:rPr>
        <w:t>B.Tech in Electronics and Communication Engineering</w:t>
      </w:r>
      <w:r>
        <w:t xml:space="preserve"> | Aditya College of Engineering and Technology | 2018–2022</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