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EYInterstate" w:cs="EYInterstate" w:eastAsia="EYInterstate" w:hAnsi="EYInterstate"/>
          <w:b/>
          <w:bCs/>
          <w:color w:val="747480"/>
          <w:sz w:val="18"/>
          <w:szCs w:val="18"/>
        </w:rPr>
        <w:t xml:space="preserve">EY  |  Climate Change and Sustainability Services</w:t>
      </w:r>
    </w:p>
    <w:p>
      <w:pPr>
        <w:spacing w:after="80"/>
      </w:pPr>
      <w:r>
        <w:rPr>
          <w:rFonts w:ascii="EYInterstate" w:cs="EYInterstate" w:eastAsia="EYInterstate" w:hAnsi="EYInterstate"/>
          <w:b/>
          <w:bCs/>
          <w:color w:val="1A1A24"/>
          <w:sz w:val="44"/>
          <w:szCs w:val="44"/>
        </w:rPr>
        <w:t xml:space="preserve">Slide Writing Guide and Worked Example</w:t>
      </w:r>
    </w:p>
    <w:p>
      <w:pPr>
        <w:spacing w:after="240"/>
      </w:pPr>
      <w:r>
        <w:rPr>
          <w:rFonts w:ascii="EYInterstate Light" w:cs="EYInterstate Light" w:eastAsia="EYInterstate Light" w:hAnsi="EYInterstate Light"/>
          <w:color w:val="747480"/>
          <w:sz w:val="22"/>
          <w:szCs w:val="22"/>
        </w:rPr>
        <w:t xml:space="preserve">Nature Opportunity Assessment  |  Copilot knowledge file  |  Used at Prompt 7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60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22"/>
                <w:szCs w:val="22"/>
              </w:rPr>
              <w:t xml:space="preserve">EXAMPLE – COPY THE FORMAT, NEVER THE FACTS.</w:t>
            </w:r>
          </w:p>
          <w:p>
            <w:r>
              <w:rPr>
                <w:rFonts w:ascii="EYInterstate Light" w:cs="EYInterstate Light" w:eastAsia="EYInterstate Light" w:hAnsi="EYInterstate Light"/>
                <w:color w:val="1A1A24"/>
                <w:sz w:val="19"/>
                <w:szCs w:val="19"/>
              </w:rPr>
              <w:t xml:space="preserve">The worked example is for Lloyds Banking Group (UK). Use it only to match length, tone and structure. Never reuse its names, figures or wording for another client.</w:t>
            </w:r>
          </w:p>
        </w:tc>
      </w:tr>
    </w:tbl>
    <w:p>
      <w:pPr>
        <w:spacing w:after="120" w:line="280"/>
      </w:pP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/>
      </w:r>
    </w:p>
    <w:p>
      <w:pPr>
        <w:spacing w:after="100" w:line="280"/>
      </w:pP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Each key in the Slide_Content table fills a fixed place in Nature_Deck_Skeleton_EY.pptx. The character limits below match the length check in the master template.</w:t>
      </w:r>
    </w:p>
    <w:p>
      <w:pPr>
        <w:pStyle w:val="Heading1"/>
        <w:pBdr>
          <w:bottom w:val="single" w:color="FFE600" w:sz="12" w:space="6"/>
        </w:pBdr>
        <w:spacing w:after="140" w:before="300"/>
      </w:pPr>
      <w:r>
        <w:t xml:space="preserve">1. Writing rules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1.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Copy the format, never the facts. The worked example is for Lloyds Banking Group (UK). Never reuse its names, figures or wording for another client.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2.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Use only figures from the evidence log, the client exposure table or the workbook. If a figure is not disclosed, write "Not disclosed" or "Not split". Never estimate or round differently from the source.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3.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Action titles state the finding, not the topic. "Top priorities line up with LBG’s nature-linked lending, except flood risk", not "Priorities".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4.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Proof points lead with a figure or a short label in the *_lead field (e.g. "£10bn", "BNG:"), followed by 8 words or fewer.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5.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Write money as £12.1bn, £120m, $79bn (no spaces, one decimal place for billions where disclosed). Write percentages as 9.3%.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6.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Use UK English and a neutral tone. Never criticise the client; describe gaps as "not disclosed" or "no target yet".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7.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Keep every value within its character limit. The master template flags anything too long in the Slide_Content tab.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8.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Leave c1_stat and c1_stat_text blank unless you are given a local-currency figure; the workbook fills them automatically.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9.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Exposure tiles (t1–t6): largest disclosed exposures relevant to the High and Medium priorities, largest first. Links use the rank numbers from the Scoring table, e.g. "#3 #4 #7".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10.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Slide 3 cards are the top four priorities by rank; merge the two water sub-themes into one card if both appear.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11.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Speaker notes (*_notes): one source per line, with page or tab references.</w:t>
      </w:r>
    </w:p>
    <w:p>
      <w:pPr>
        <w:spacing w:after="80" w:line="280"/>
        <w:ind w:left="360" w:hanging="36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12.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Return only the Key | Value table, in the same key order as the Slide_Content tab, with no blank keys except the optional ones.</w:t>
      </w:r>
    </w:p>
    <w:p>
      <w:pPr>
        <w:pStyle w:val="Heading1"/>
        <w:pBdr>
          <w:bottom w:val="single" w:color="FFE600" w:sz="12" w:space="6"/>
        </w:pBdr>
        <w:spacing w:after="140" w:before="300"/>
      </w:pPr>
      <w:r>
        <w:t xml:space="preserve">2. Field-by-field guide</w:t>
      </w:r>
    </w:p>
    <w:p>
      <w:pPr>
        <w:spacing w:after="140" w:line="280"/>
      </w:pP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Fields with the same pattern follow the same rule: cards c1, c2 and c3 share the head, stat, stat_text, p1–p3 and p1_lead–p3_lead rules; tiles t1–t6 share value, label, links and flag; cards s3_card1–4 share title, score, evidence, support and output.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600"/>
        <w:gridCol w:w="3858"/>
        <w:gridCol w:w="2200"/>
        <w:gridCol w:w="2500"/>
      </w:tblGrid>
      <w:tr>
        <w:trPr>
          <w:tblHeader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Key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Purpose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Max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Good (LBG example)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Weak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Why weak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cover_title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deck title on the cover slide.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priorities for Lloyds Banking Group: UK NBSAP proof of concept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analysis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Too vague: no client, no country.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client_short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Short name used inside text, e.g. "Why LBG".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12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Lloyds Banking Group plc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Too long for card headings; use the familiar short name.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s1_title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Action title stating the overall finding (also s2_title, s3_title).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75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UK nature policy is creating investment and rules that LBG cannot ignore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Executive summary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topic label, not a finding.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c1_head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Heading for the national signal card.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UK is putting money behind nature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NBSAP overview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label; say what the signal means.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c1_stat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Optional. Leave blank to use the automatic count.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34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Lots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a figure.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c1_p2_lead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Bold lead of a proof point: a figure or short label.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£10bn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Significant investment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a figure; too long for the lead.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c1_p2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rest of the proof point.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waste, £6.1bn water, £5.0bn farming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is being made across many areas of the economy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 figures; too vague and too long.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c2_head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Heading for the regulation and markets card.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Regulation and markets are following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label, not a message.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c2_stat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Headline figure for a regulatory or market signal.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£1bn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Many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a figure.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c2_p1_lead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Lead: regulation name or figure.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BNG: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Regulation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Name the rule (e.g. BNG, PRA SS5/25).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c2_p1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What the rule requires, with date.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10% net gain mandatory since Feb 2024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is getting stricter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 requirement or date.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c3_head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Heading for why the client is exposed.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is directly exposed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Client view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Does not say why it matters.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c3_stat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Client headline nature-related exposure, as disclosed.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£60.0bn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c.£60bn (estimated)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Never estimate; use the disclosed figure.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c3_stat_text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What the figure is, with scope and date.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exposure to nature priority sectors (9.3% of Group)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exposure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Missing scope and date.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c3_p1_lead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Lead figure for a gap or action.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£365.6bn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Mortgages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Lead with the figure.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c3_p1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gap or action in 8 words or fewer.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mortgages: flood exposure not disclosed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might be a problem because of flooding risk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Speculative wording; state what is or is not disclosed.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s1_found_note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One line under the top-4 priorities: the nearest miss and the main gap.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150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Agriculture (3.9) just misses High. Nature is eligible in LBG’s 2025 financing framework, but no nature-specific targets or reporting are disclosed.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Other areas are also important.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Says nothing specific.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s1_sowhat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single message for the client, leading to page 4.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has the criteria and the deals. The next step is portfolio-level nature targets, risk data and disclosure, where EY can help.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EY can help with many things.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specific to the evidence.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t1_value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Disclosed exposure figure (tiles t1–t6).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£12.1bn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£12bn approx.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Rounded and approximate; copy the disclosed figure.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t1_label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Sector name as disclosed.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Energy and water supply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Utilities and other stuff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Informal; use the disclosed sector name.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t1_links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Rank numbers of linked priorities.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#3 #4 #7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Water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Use rank numbers, e.g. #3 #4 #7.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t1_flag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Whether the client classes the sector as nature priority.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priority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Use "Nature priority" or "Not nature priority".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s2_sowhat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How priorities and exposure line up, and the biggest gap.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LBG’s nature priority exposures (£24.8bn across utilities, agriculture and construction) line up with four of the top five priorities. The largest gap is flood risk in the £365.6bn mortgage book.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chart shows the scores.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Describes the chart instead of the insight.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s3_card1_title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Short name of the priority (cards 1–4).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32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Flood and drought risk reduction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Risk reduction and prevention (DM01)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Codes are not client-friendly; keep it short.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s3_card1_score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Score from the workbook.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4.5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Use the number, e.g. 4.5.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s3_card1_evidence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What the public evidence shows, with figures.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Resilience built into Cleve Hill and HARP; mortgage flood exposure not disclosed.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is doing a lot on flooding.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 source figures.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s3_card1_support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How EY could support, specific to the evidence.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Physical and nature-related risk assessment of the lending book; resilience finance criteria.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Strategy support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Too vague.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s3_card1_output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tangible output.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Portfolio flood and drought heatmap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Insights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a deliverable.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s3_next1</w:t>
            </w:r>
          </w:p>
        </w:tc>
        <w:tc>
          <w:tcPr>
            <w:tcW w:type="dxa" w:w="29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concrete next step (s3_next1–3).</w:t>
            </w:r>
          </w:p>
        </w:tc>
        <w:tc>
          <w:tcPr>
            <w:tcW w:type="dxa" w:w="6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80</w:t>
            </w:r>
          </w:p>
        </w:tc>
        <w:tc>
          <w:tcPr>
            <w:tcW w:type="dxa" w:w="38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E8F5E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Validate against the LBG Sustainability Report 2025</w:t>
            </w:r>
          </w:p>
        </w:tc>
        <w:tc>
          <w:tcPr>
            <w:tcW w:type="dxa" w:w="22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D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Next steps TBC</w:t>
            </w:r>
          </w:p>
        </w:tc>
        <w:tc>
          <w:tcPr>
            <w:tcW w:type="dxa" w:w="25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an action.</w:t>
            </w:r>
          </w:p>
        </w:tc>
      </w:tr>
    </w:tbl>
    <w:p>
      <w:pPr>
        <w:pStyle w:val="Heading1"/>
        <w:pBdr>
          <w:bottom w:val="single" w:color="FFE600" w:sz="12" w:space="6"/>
        </w:pBdr>
        <w:spacing w:after="140" w:before="300"/>
      </w:pPr>
      <w:r>
        <w:t xml:space="preserve">3. Complete worked example (Lloyds Banking Group, UK)</w:t>
      </w:r>
    </w:p>
    <w:p>
      <w:pPr>
        <w:spacing w:after="140" w:line="280"/>
      </w:pP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This is the finished Slide_Content table for the LBG deck. Match its length and style; replace every fact with the client’s own evidence.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0958"/>
      </w:tblGrid>
      <w:tr>
        <w:trPr>
          <w:tblHeader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Key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Max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2E2E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FFE600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cover_title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priorities for Lloyds Banking Group: UK NBSAP proof of concept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cover_date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7th October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client_name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Lloyds Banking Group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client_short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12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UK nature policy is creating investment and rules that LBG cannot ignore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s1_section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Executive summary: why this matters and what we found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c1_head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The UK is putting money behind nature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c1_stat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c1_stat_text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UK NBSAP commitments worth c.£60bn (indicative)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c1_p1_lead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Over half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c1_p1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for flood and coastal resilience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c1_p2_lead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£10bn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c1_p2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waste, £6.1bn water, £5.0bn farming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c1_p3_lead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£11bn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c1_p3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year adaptation gap (CCC)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c2_head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Regulation and markets are following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c2_stat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c2_stat_text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 year of private nature investment targeted by 2030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c2_p1_lead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BNG: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c2_p1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10% net gain mandatory since Feb 2024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c2_p2_lead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PRA SS5/25: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c2_p2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banks must manage physical risk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c2_p3_lead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£56bn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c2_p3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UK nature finance gap (next decade)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c3_head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is directly exposed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c3_stat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£60.0bn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c3_stat_text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exposure to nature priority sectors (9.3% of Group)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c3_p1_lead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£365.6bn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c3_p1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mortgages: flood exposure not disclosed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c3_p2_lead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£100bn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c3_p2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sustainable finance pledged, 2027–30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c3_p3_lead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£120m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c3_p3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HARP debt; co-underwrote £238.5m Cleve Hill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s1_found_note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150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Agriculture (3.9) just misses High. Nature is eligible in LBG’s 2025 financing framework, but no nature-specific targets or reporting are disclosed.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s1_sowhat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has the criteria and the deals. The next step is portfolio-level nature targets, risk data and disclosure, where EY can help.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s1_footnote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Sources: EY NBSAP Nature Sizing workbook (UK, indicative); LBG Working with nature (2024); Built to Last (2026); Sustainability Data Sheet 2025; Sustainable Financing Framework 2025.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s1_notes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1000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EY NBSAP Nature Sizing workbook, UK commitments (34; c.£60bn; flood-related 59%)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Working with nature (2024), pp.3–14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Built to Last (2026), pp.2–21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Sustainability Data Sheet 2025, tabs 15, 18, 20, 23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Sustainable Financing Framework 2025, pp.7–17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s2_title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Top priorities line up with LBG’s nature-linked lending, except flood risk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s2_section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Opportunity priority vs client exposure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exp_unit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£bn, 31 Dec 2025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t1_value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£12.1bn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t1_label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Energy and water supply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t1_links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#3 #4 #7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t1_flag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priority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t2_value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£6.8bn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t2_label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Agriculture, forestry and fishing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t2_links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t2_flag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priority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t3_value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£5.9bn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t3_label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Construction (incl. £2.3bn housebuilders)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t3_links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#2 #8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t3_flag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priority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t4_value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£26.3bn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t4_label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Property companies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t4_links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t4_flag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nature priority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t5_value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£365.6bn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t5_label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Mortgages: flood exposure not disclosed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t5_links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t5_flag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nature priority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t6_value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split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t6_label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Infrastructure finance, e.g. HARP, Cleve Hill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t6_links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#1 #6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t6_flag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Not classified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s2_sowhat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200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LBG’s nature priority exposures (£24.8bn across utilities, agriculture and construction) line up with four of the top five priorities. The largest gap is flood risk in the £365.6bn mortgage book.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s2_footnote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220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Score = weighted average (1–5): materiality 30%, action gap 25%, NBSAP emphasis 20%, momentum 15%, opportunity 10%. Exposure: LBG Sustainability Data Sheet 2025, tab 18.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s2_notes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1000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Sustainability Data Sheet 2025, tab 18 (exposure at 31 Dec 2025; footnotes 8 and 11)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LBG Built to Last (2026), pp.15–17 (HARP, Cleve Hill)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Mapping workbook: Scoring tab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75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EY could help LBG move from nature criteria to portfolio-level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s3_section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How EY can assist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32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Flood and drought risk reduction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s3_card1_score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s3_card1_evidence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Resilience built into Cleve Hill and HARP; mortgage flood exposure not disclosed.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s3_card1_support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Physical and nature-related risk assessment of the lending book; resilience finance criteria.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s3_card1_output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Portfolio flood and drought heatmap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s3_card2_title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32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Habitat protection and BNG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s3_card2_score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s3_card2_evidence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£5.9bn construction exposure in scope of BNG; BNG delivered project by project (10–65%).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s3_card2_support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markets and BNG strategy; due diligence on nature outcomes in financed projects.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s3_card2_output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markets options paper; BNG due diligence checklist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s3_card3_title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32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Water availability and quality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s3_card3_score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s3_card3_evidence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£12.1bn energy and water supply exposure; £120m HARP debt; water criteria in SFF.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s3_card3_support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UK water investment pipeline using the EY NBSAP sizing tool; sustainability-linked KPI design.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s3_card3_output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Water investment pipeline; KPI set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s3_card4_title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32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Sustainable agriculture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s3_card4_score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3.9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s3_card4_evidence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£6.7bn agriculture exposure; 685 farms assessed; target covers emissions only.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s3_card4_support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110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Nature baseline for the agriculture book; regenerative farming products and nature targets.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s3_card4_output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60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Agriculture nature baseline; product concept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s3_crosscutting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120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TNFD-aligned disclosure, nature metrics and target setting, and reporting sustainable finance by nature category.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s3_next1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80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Validate against the LBG Sustainability Report 2025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s3_next2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80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Discovery workshop with LBG sustainability, risk and corporate banking teams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s3_next3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80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Deep dive on nature exposure in agriculture and water lending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s3_footnote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140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Support areas are indicative and to be aligned with the EY CCaSS service catalogue. Scores from page 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" w:cs="EYInterstate" w:eastAsia="EYInterstate" w:hAnsi="EYInterstate"/>
                <w:b/>
                <w:bCs/>
                <w:color w:val="1A1A24"/>
                <w:sz w:val="17"/>
                <w:szCs w:val="17"/>
              </w:rPr>
              <w:t xml:space="preserve">s3_notes</w:t>
            </w:r>
          </w:p>
        </w:tc>
        <w:tc>
          <w:tcPr>
            <w:tcW w:type="dxa" w:w="700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1000</w:t>
            </w:r>
          </w:p>
        </w:tc>
        <w:tc>
          <w:tcPr>
            <w:tcW w:type="dxa" w:w="10958"/>
            <w:tcBorders>
              <w:top w:val="single" w:color="C4C4CD" w:sz="4"/>
              <w:left w:val="single" w:color="C4C4CD" w:sz="4"/>
              <w:bottom w:val="single" w:color="C4C4CD" w:sz="4"/>
              <w:right w:val="single" w:color="C4C4CD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Mapping workbook: Scoring tab (top four priorities)</w:t>
            </w:r>
          </w:p>
          <w:p>
            <w:pPr>
              <w:spacing w:after="0" w:line="250"/>
            </w:pPr>
            <w:r>
              <w:rPr>
                <w:rFonts w:ascii="EYInterstate Light" w:cs="EYInterstate Light" w:eastAsia="EYInterstate Light" w:hAnsi="EYInterstate Light"/>
                <w:b w:val="false"/>
                <w:bCs w:val="false"/>
                <w:color w:val="1A1A24"/>
                <w:sz w:val="17"/>
                <w:szCs w:val="17"/>
              </w:rPr>
              <w:t xml:space="preserve">Support areas indicative; to be aligned with the EY CCaSS service catalogue</w:t>
            </w:r>
          </w:p>
        </w:tc>
      </w:tr>
    </w:tbl>
    <w:p>
      <w:pPr>
        <w:pStyle w:val="Heading1"/>
        <w:pBdr>
          <w:bottom w:val="single" w:color="FFE600" w:sz="12" w:space="6"/>
        </w:pBdr>
        <w:spacing w:after="140" w:before="300"/>
      </w:pPr>
      <w:r>
        <w:t xml:space="preserve">4. Self-check before replying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Every key is present, in the Slide_Content order; only the optional keys may be blank (c1_stat, c1_stat_text, t6_flag if not classified).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Every value is within its character limit.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Every figure appears in the evidence log, the client exposure table or the workbook.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No LBG names, figures or wording appear unless the client is LBG.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Titles state findings and are 75 characters or fewer.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Scores and ranks match the Scoring table exactly.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UK English, neutral tone, “not disclosed” instead of guesses.</w:t>
      </w:r>
    </w:p>
    <w:p>
      <w:pPr>
        <w:spacing w:after="70" w:line="280"/>
      </w:pPr>
      <w:r>
        <w:rPr>
          <w:rFonts w:ascii="EYInterstate" w:cs="EYInterstate" w:eastAsia="EYInterstate" w:hAnsi="EYInterstate"/>
          <w:b/>
          <w:bCs/>
          <w:color w:val="1A1A24"/>
          <w:sz w:val="19"/>
          <w:szCs w:val="19"/>
        </w:rPr>
        <w:t xml:space="preserve">☐  </w:t>
      </w:r>
      <w:r>
        <w:rPr>
          <w:rFonts w:ascii="EYInterstate Light" w:cs="EYInterstate Light" w:eastAsia="EYInterstate Light" w:hAnsi="EYInterstate Light"/>
          <w:color w:val="1A1A24"/>
          <w:sz w:val="19"/>
          <w:szCs w:val="19"/>
        </w:rPr>
        <w:t xml:space="preserve">The reply contains only the Key | Value table.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EYInterstate Light" w:cs="EYInterstate Light" w:eastAsia="EYInterstate Light" w:hAnsi="EYInterstate Light"/>
        <w:color w:val="747480"/>
        <w:sz w:val="15"/>
        <w:szCs w:val="15"/>
      </w:rPr>
      <w:t xml:space="preserve">EY CCaSS  |  Copilot knowledge file  |  EXAMPLE – copy the format, never the facts  |  Page </w:t>
    </w:r>
    <w:r>
      <w:rPr>
        <w:rFonts w:ascii="EYInterstate Light" w:cs="EYInterstate Light" w:eastAsia="EYInterstate Light" w:hAnsi="EYInterstate Light"/>
        <w:color w:val="7474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EYInterstate Light" w:cs="EYInterstate Light" w:eastAsia="EYInterstate Light" w:hAnsi="EYInterstate Light"/>
        <w:color w:val="747480"/>
        <w:sz w:val="15"/>
        <w:szCs w:val="15"/>
      </w:rPr>
      <w:t xml:space="preserve">Nature Opportunity Assessment  |  Slide Writing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YInterstate Light" w:cs="EYInterstate Light" w:eastAsia="EYInterstate Light" w:hAnsi="EYInterstate Light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EYInterstate" w:cs="EYInterstate" w:eastAsia="EYInterstate" w:hAnsi="EYInterstate"/>
      <w:b/>
      <w:bCs/>
      <w:color w:val="1A1A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Writing Guide and Worked Example</dc:title>
  <dc:creator>EY CCaSS</dc:creator>
  <cp:lastModifiedBy>Un-named</cp:lastModifiedBy>
  <cp:revision>1</cp:revision>
  <dcterms:created xsi:type="dcterms:W3CDTF">2026-10-08T10:25:04.273Z</dcterms:created>
  <dcterms:modified xsi:type="dcterms:W3CDTF">2026-10-08T10:25:04.273Z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