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rFonts w:ascii="EYInterstate" w:cs="EYInterstate" w:eastAsia="EYInterstate" w:hAnsi="EYInterstate"/>
          <w:b/>
          <w:bCs/>
          <w:color w:val="747480"/>
          <w:sz w:val="20"/>
          <w:szCs w:val="20"/>
        </w:rPr>
        <w:t xml:space="preserve">EY  |  Climate Change and Sustainability Services</w:t>
      </w:r>
    </w:p>
    <w:p>
      <w:pPr>
        <w:spacing w:after="120"/>
      </w:pPr>
      <w:r>
        <w:rPr>
          <w:rFonts w:ascii="EYInterstate Light" w:cs="EYInterstate Light" w:eastAsia="EYInterstate Light" w:hAnsi="EYInterstate Light"/>
          <w:color w:val="1A1A24"/>
          <w:sz w:val="56"/>
          <w:szCs w:val="56"/>
        </w:rPr>
        <w:t xml:space="preserve">Nature Opportunity Assessment</w:t>
      </w:r>
    </w:p>
    <w:p>
      <w:pPr>
        <w:pBdr>
          <w:bottom w:val="single" w:color="FFE600" w:sz="36" w:space="10"/>
        </w:pBdr>
        <w:spacing w:after="240"/>
      </w:pPr>
      <w:r>
        <w:rPr>
          <w:rFonts w:ascii="EYInterstate" w:cs="EYInterstate" w:eastAsia="EYInterstate" w:hAnsi="EYInterstate"/>
          <w:b/>
          <w:bCs/>
          <w:color w:val="1A1A24"/>
          <w:sz w:val="56"/>
          <w:szCs w:val="56"/>
        </w:rPr>
        <w:t xml:space="preserve">Methodology</w:t>
      </w:r>
    </w:p>
    <w:p>
      <w:pPr>
        <w:spacing w:after="1600" w:before="200" w:line="340"/>
      </w:pPr>
      <w:r>
        <w:rPr>
          <w:rFonts w:ascii="EYInterstate Light" w:cs="EYInterstate Light" w:eastAsia="EYInterstate Light" w:hAnsi="EYInterstate Light"/>
          <w:color w:val="747480"/>
          <w:sz w:val="26"/>
          <w:szCs w:val="26"/>
        </w:rPr>
        <w:t xml:space="preserve">How we map a client’s public nature disclosures to national biodiversity plans, score the priorities and turn them into a three-slide summary, explained in plain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Item</w:t>
            </w:r>
          </w:p>
        </w:tc>
        <w:tc>
          <w:tcPr>
            <w:tcW w:type="dxa" w:w="6626"/>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Detail</w:t>
            </w:r>
          </w:p>
        </w:tc>
      </w:tr>
      <w:tr>
        <w:trPr>
          <w:cantSplit/>
        </w:trPr>
        <w:tc>
          <w:tcPr>
            <w:tcW w:type="dxa" w:w="24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Version</w:t>
            </w:r>
          </w:p>
        </w:tc>
        <w:tc>
          <w:tcPr>
            <w:tcW w:type="dxa" w:w="66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1.0</w:t>
            </w:r>
          </w:p>
        </w:tc>
      </w:tr>
      <w:tr>
        <w:trPr>
          <w:cantSplit/>
        </w:trPr>
        <w:tc>
          <w:tcPr>
            <w:tcW w:type="dxa" w:w="24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Date</w:t>
            </w:r>
          </w:p>
        </w:tc>
        <w:tc>
          <w:tcPr>
            <w:tcW w:type="dxa" w:w="66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7 October 2026</w:t>
            </w:r>
          </w:p>
        </w:tc>
      </w:tr>
      <w:tr>
        <w:trPr>
          <w:cantSplit/>
        </w:trPr>
        <w:tc>
          <w:tcPr>
            <w:tcW w:type="dxa" w:w="24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Pilot</w:t>
            </w:r>
          </w:p>
        </w:tc>
        <w:tc>
          <w:tcPr>
            <w:tcW w:type="dxa" w:w="66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Lloyds Banking Group (LBG), United Kingdom</w:t>
            </w:r>
          </w:p>
        </w:tc>
      </w:tr>
      <w:tr>
        <w:trPr>
          <w:cantSplit/>
        </w:trPr>
        <w:tc>
          <w:tcPr>
            <w:tcW w:type="dxa" w:w="24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Status</w:t>
            </w:r>
          </w:p>
        </w:tc>
        <w:tc>
          <w:tcPr>
            <w:tcW w:type="dxa" w:w="66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Proof of concept: for internal discussion</w:t>
            </w:r>
          </w:p>
        </w:tc>
      </w:tr>
    </w:tbl>
    <w:p>
      <w:pPr>
        <w:spacing w:before="1800"/>
      </w:pPr>
      <w:r>
        <w:rPr>
          <w:rFonts w:ascii="EYInterstate Light" w:cs="EYInterstate Light" w:eastAsia="EYInterstate Light" w:hAnsi="EYInterstate Light"/>
          <w:i/>
          <w:iCs/>
          <w:color w:val="747480"/>
          <w:sz w:val="18"/>
          <w:szCs w:val="18"/>
        </w:rPr>
        <w:t xml:space="preserve">The better the question. The better the answer. The better the world works.</w:t>
      </w:r>
    </w:p>
    <w:p>
      <w:r>
        <w:br w:type="page"/>
      </w:r>
    </w:p>
    <w:p>
      <w:pPr>
        <w:spacing w:after="200"/>
      </w:pPr>
      <w:r>
        <w:rPr>
          <w:rFonts w:ascii="EYInterstate" w:cs="EYInterstate" w:eastAsia="EYInterstate" w:hAnsi="EYInterstate"/>
          <w:b/>
          <w:bCs/>
          <w:color w:val="1A1A24"/>
          <w:sz w:val="32"/>
          <w:szCs w:val="32"/>
        </w:rPr>
        <w:t xml:space="preserve">Contents</w:t>
      </w:r>
    </w:p>
    <w:p>
      <w:pPr>
        <w:pBdr>
          <w:bottom w:val="single" w:color="E6E6E6" w:sz="2" w:space="4"/>
        </w:pBdr>
        <w:spacing w:after="140"/>
      </w:pPr>
      <w:r>
        <w:rPr>
          <w:rFonts w:ascii="EYInterstate Light" w:cs="EYInterstate Light" w:eastAsia="EYInterstate Light" w:hAnsi="EYInterstate Light"/>
          <w:color w:val="1A1A24"/>
          <w:sz w:val="23"/>
          <w:szCs w:val="23"/>
        </w:rPr>
        <w:t xml:space="preserve">1. Summary on a page</w:t>
      </w:r>
    </w:p>
    <w:p>
      <w:pPr>
        <w:pBdr>
          <w:bottom w:val="single" w:color="E6E6E6" w:sz="2" w:space="4"/>
        </w:pBdr>
        <w:spacing w:after="140"/>
      </w:pPr>
      <w:r>
        <w:rPr>
          <w:rFonts w:ascii="EYInterstate Light" w:cs="EYInterstate Light" w:eastAsia="EYInterstate Light" w:hAnsi="EYInterstate Light"/>
          <w:color w:val="1A1A24"/>
          <w:sz w:val="23"/>
          <w:szCs w:val="23"/>
        </w:rPr>
        <w:t xml:space="preserve">2. Why we built this</w:t>
      </w:r>
    </w:p>
    <w:p>
      <w:pPr>
        <w:pBdr>
          <w:bottom w:val="single" w:color="E6E6E6" w:sz="2" w:space="4"/>
        </w:pBdr>
        <w:spacing w:after="140"/>
      </w:pPr>
      <w:r>
        <w:rPr>
          <w:rFonts w:ascii="EYInterstate Light" w:cs="EYInterstate Light" w:eastAsia="EYInterstate Light" w:hAnsi="EYInterstate Light"/>
          <w:color w:val="1A1A24"/>
          <w:sz w:val="23"/>
          <w:szCs w:val="23"/>
        </w:rPr>
        <w:t xml:space="preserve">3. Key terms</w:t>
      </w:r>
    </w:p>
    <w:p>
      <w:pPr>
        <w:pBdr>
          <w:bottom w:val="single" w:color="E6E6E6" w:sz="2" w:space="4"/>
        </w:pBdr>
        <w:spacing w:after="140"/>
      </w:pPr>
      <w:r>
        <w:rPr>
          <w:rFonts w:ascii="EYInterstate Light" w:cs="EYInterstate Light" w:eastAsia="EYInterstate Light" w:hAnsi="EYInterstate Light"/>
          <w:color w:val="1A1A24"/>
          <w:sz w:val="23"/>
          <w:szCs w:val="23"/>
        </w:rPr>
        <w:t xml:space="preserve">4. The method, step by step</w:t>
      </w:r>
    </w:p>
    <w:p>
      <w:pPr>
        <w:pBdr>
          <w:bottom w:val="single" w:color="E6E6E6" w:sz="2" w:space="4"/>
        </w:pBdr>
        <w:spacing w:after="140"/>
      </w:pPr>
      <w:r>
        <w:rPr>
          <w:rFonts w:ascii="EYInterstate Light" w:cs="EYInterstate Light" w:eastAsia="EYInterstate Light" w:hAnsi="EYInterstate Light"/>
          <w:color w:val="1A1A24"/>
          <w:sz w:val="23"/>
          <w:szCs w:val="23"/>
        </w:rPr>
        <w:t xml:space="preserve">5. Who does what: people, AI and Excel</w:t>
      </w:r>
    </w:p>
    <w:p>
      <w:pPr>
        <w:pBdr>
          <w:bottom w:val="single" w:color="E6E6E6" w:sz="2" w:space="4"/>
        </w:pBdr>
        <w:spacing w:after="140"/>
      </w:pPr>
      <w:r>
        <w:rPr>
          <w:rFonts w:ascii="EYInterstate Light" w:cs="EYInterstate Light" w:eastAsia="EYInterstate Light" w:hAnsi="EYInterstate Light"/>
          <w:color w:val="1A1A24"/>
          <w:sz w:val="23"/>
          <w:szCs w:val="23"/>
        </w:rPr>
        <w:t xml:space="preserve">6. Pilot result: Lloyds Banking Group (UK)</w:t>
      </w:r>
    </w:p>
    <w:p>
      <w:pPr>
        <w:pBdr>
          <w:bottom w:val="single" w:color="E6E6E6" w:sz="2" w:space="4"/>
        </w:pBdr>
        <w:spacing w:after="140"/>
      </w:pPr>
      <w:r>
        <w:rPr>
          <w:rFonts w:ascii="EYInterstate Light" w:cs="EYInterstate Light" w:eastAsia="EYInterstate Light" w:hAnsi="EYInterstate Light"/>
          <w:color w:val="1A1A24"/>
          <w:sz w:val="23"/>
          <w:szCs w:val="23"/>
        </w:rPr>
        <w:t xml:space="preserve">7. Using it for other clients and countries</w:t>
      </w:r>
    </w:p>
    <w:p>
      <w:pPr>
        <w:pBdr>
          <w:bottom w:val="single" w:color="E6E6E6" w:sz="2" w:space="4"/>
        </w:pBdr>
        <w:spacing w:after="140"/>
      </w:pPr>
      <w:r>
        <w:rPr>
          <w:rFonts w:ascii="EYInterstate Light" w:cs="EYInterstate Light" w:eastAsia="EYInterstate Light" w:hAnsi="EYInterstate Light"/>
          <w:color w:val="1A1A24"/>
          <w:sz w:val="23"/>
          <w:szCs w:val="23"/>
        </w:rPr>
        <w:t xml:space="preserve">8. Limitations to keep in mind</w:t>
      </w:r>
    </w:p>
    <w:p>
      <w:pPr>
        <w:pBdr>
          <w:bottom w:val="single" w:color="E6E6E6" w:sz="2" w:space="4"/>
        </w:pBdr>
        <w:spacing w:after="140"/>
      </w:pPr>
      <w:r>
        <w:rPr>
          <w:rFonts w:ascii="EYInterstate Light" w:cs="EYInterstate Light" w:eastAsia="EYInterstate Light" w:hAnsi="EYInterstate Light"/>
          <w:color w:val="1A1A24"/>
          <w:sz w:val="23"/>
          <w:szCs w:val="23"/>
        </w:rPr>
        <w:t xml:space="preserve">9. Quality checks</w:t>
      </w:r>
    </w:p>
    <w:p>
      <w:pPr>
        <w:pBdr>
          <w:bottom w:val="single" w:color="E6E6E6" w:sz="2" w:space="4"/>
        </w:pBdr>
        <w:spacing w:after="140"/>
      </w:pPr>
      <w:r>
        <w:rPr>
          <w:rFonts w:ascii="EYInterstate Light" w:cs="EYInterstate Light" w:eastAsia="EYInterstate Light" w:hAnsi="EYInterstate Light"/>
          <w:color w:val="1A1A24"/>
          <w:sz w:val="23"/>
          <w:szCs w:val="23"/>
        </w:rPr>
        <w:t xml:space="preserve">Appendix: Toolkit files</w:t>
      </w:r>
    </w:p>
    <w:p>
      <w:r>
        <w:br w:type="page"/>
      </w:r>
    </w:p>
    <w:p>
      <w:pPr>
        <w:pStyle w:val="Heading1"/>
        <w:pBdr>
          <w:bottom w:val="single" w:color="FFE600" w:sz="12" w:space="6"/>
        </w:pBdr>
        <w:spacing w:after="160" w:before="360"/>
      </w:pPr>
      <w:r>
        <w:t xml:space="preserve">1. Summary on a page</w:t>
      </w:r>
    </w:p>
    <w:p>
      <w:pPr>
        <w:spacing w:after="120" w:line="300"/>
      </w:pPr>
      <w:r>
        <w:rPr>
          <w:rFonts w:ascii="EYInterstate" w:cs="EYInterstate" w:eastAsia="EYInterstate" w:hAnsi="EYInterstate"/>
          <w:b/>
          <w:bCs/>
          <w:color w:val="1A1A24"/>
          <w:sz w:val="21"/>
          <w:szCs w:val="21"/>
        </w:rPr>
        <w:t xml:space="preserve">What this is.</w:t>
      </w:r>
      <w:r>
        <w:rPr>
          <w:rFonts w:ascii="EYInterstate Light" w:cs="EYInterstate Light" w:eastAsia="EYInterstate Light" w:hAnsi="EYInterstate Light"/>
          <w:color w:val="1A1A24"/>
          <w:sz w:val="21"/>
          <w:szCs w:val="21"/>
        </w:rPr>
        <w:t xml:space="preserve"> A repeatable way to answer one question for any client: </w:t>
      </w:r>
      <w:r>
        <w:rPr>
          <w:rFonts w:ascii="EYInterstate" w:cs="EYInterstate" w:eastAsia="EYInterstate" w:hAnsi="EYInterstate"/>
          <w:b/>
          <w:bCs/>
          <w:color w:val="1A1A24"/>
          <w:sz w:val="21"/>
          <w:szCs w:val="21"/>
        </w:rPr>
        <w:t xml:space="preserve">where does this client’s business meet its country’s national nature priorities, and where could EY help?</w:t>
      </w:r>
    </w:p>
    <w:p>
      <w:pPr>
        <w:spacing w:after="120" w:line="300"/>
      </w:pPr>
      <w:r>
        <w:rPr>
          <w:rFonts w:ascii="EYInterstate" w:cs="EYInterstate" w:eastAsia="EYInterstate" w:hAnsi="EYInterstate"/>
          <w:b/>
          <w:bCs/>
          <w:color w:val="1A1A24"/>
          <w:sz w:val="21"/>
          <w:szCs w:val="21"/>
        </w:rPr>
        <w:t xml:space="preserve">How it works, in five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626"/>
      </w:tblGrid>
      <w:tr>
        <w:trPr>
          <w:tblHeader/>
        </w:trPr>
        <w:tc>
          <w:tcPr>
            <w:tcW w:type="dxa" w:w="15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Step</w:t>
            </w:r>
          </w:p>
        </w:tc>
        <w:tc>
          <w:tcPr>
            <w:tcW w:type="dxa" w:w="39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What happens</w:t>
            </w:r>
          </w:p>
        </w:tc>
        <w:tc>
          <w:tcPr>
            <w:tcW w:type="dxa" w:w="3626"/>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In plain terms</w:t>
            </w:r>
          </w:p>
        </w:tc>
      </w:tr>
      <w:tr>
        <w:trPr>
          <w:cantSplit/>
        </w:trPr>
        <w:tc>
          <w:tcPr>
            <w:tcW w:type="dxa" w:w="15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1. Collect</w:t>
            </w:r>
          </w:p>
        </w:tc>
        <w:tc>
          <w:tcPr>
            <w:tcW w:type="dxa" w:w="39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Gather the client’s recent public documents</w:t>
            </w:r>
          </w:p>
        </w:tc>
        <w:tc>
          <w:tcPr>
            <w:tcW w:type="dxa" w:w="36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“What has the client said and published?”</w:t>
            </w:r>
          </w:p>
        </w:tc>
      </w:tr>
      <w:tr>
        <w:trPr>
          <w:cantSplit/>
        </w:trPr>
        <w:tc>
          <w:tcPr>
            <w:tcW w:type="dxa" w:w="15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2. Extract</w:t>
            </w:r>
          </w:p>
        </w:tc>
        <w:tc>
          <w:tcPr>
            <w:tcW w:type="dxa" w:w="39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Pull out every nature-related fact, with exact quotes and page numbers</w:t>
            </w:r>
          </w:p>
        </w:tc>
        <w:tc>
          <w:tcPr>
            <w:tcW w:type="dxa" w:w="36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“What exactly does it say, and where?”</w:t>
            </w:r>
          </w:p>
        </w:tc>
      </w:tr>
      <w:tr>
        <w:trPr>
          <w:cantSplit/>
        </w:trPr>
        <w:tc>
          <w:tcPr>
            <w:tcW w:type="dxa" w:w="15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3. Map</w:t>
            </w:r>
          </w:p>
        </w:tc>
        <w:tc>
          <w:tcPr>
            <w:tcW w:type="dxa" w:w="39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Link each fact to the 15 nature topics in the EY NBSAP tool</w:t>
            </w:r>
          </w:p>
        </w:tc>
        <w:tc>
          <w:tcPr>
            <w:tcW w:type="dxa" w:w="36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“Which national priority does this relate to?”</w:t>
            </w:r>
          </w:p>
        </w:tc>
      </w:tr>
      <w:tr>
        <w:trPr>
          <w:cantSplit/>
        </w:trPr>
        <w:tc>
          <w:tcPr>
            <w:tcW w:type="dxa" w:w="15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4. Score</w:t>
            </w:r>
          </w:p>
        </w:tc>
        <w:tc>
          <w:tcPr>
            <w:tcW w:type="dxa" w:w="39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Rate each topic on five criteria and rank them</w:t>
            </w:r>
          </w:p>
        </w:tc>
        <w:tc>
          <w:tcPr>
            <w:tcW w:type="dxa" w:w="36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“Which topics matter most for this client?”</w:t>
            </w:r>
          </w:p>
        </w:tc>
      </w:tr>
      <w:tr>
        <w:trPr>
          <w:cantSplit/>
        </w:trPr>
        <w:tc>
          <w:tcPr>
            <w:tcW w:type="dxa" w:w="15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5. Present</w:t>
            </w:r>
          </w:p>
        </w:tc>
        <w:tc>
          <w:tcPr>
            <w:tcW w:type="dxa" w:w="39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Summarise in three slides on the EY template</w:t>
            </w:r>
          </w:p>
        </w:tc>
        <w:tc>
          <w:tcPr>
            <w:tcW w:type="dxa" w:w="36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“What should we tell the client, and how can EY help?”</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FFF9C2" w:color="auto" w:val="clear"/>
            <w:tcMar>
              <w:top w:type="dxa" w:w="160"/>
              <w:left w:type="dxa" w:w="220"/>
              <w:bottom w:type="dxa" w:w="160"/>
              <w:right w:type="dxa" w:w="220"/>
            </w:tcMar>
          </w:tcPr>
          <w:p>
            <w:pPr>
              <w:spacing w:after="80"/>
            </w:pPr>
            <w:r>
              <w:rPr>
                <w:rFonts w:ascii="EYInterstate" w:cs="EYInterstate" w:eastAsia="EYInterstate" w:hAnsi="EYInterstate"/>
                <w:b/>
                <w:bCs/>
                <w:color w:val="1A1A24"/>
                <w:sz w:val="22"/>
                <w:szCs w:val="22"/>
              </w:rPr>
              <w:t xml:space="preserve">Key points</w:t>
            </w:r>
          </w:p>
          <w:p>
            <w:pPr>
              <w:pStyle w:val="ListParagraph"/>
              <w:numPr>
                <w:ilvl w:val="0"/>
                <w:numId w:val="2"/>
              </w:numPr>
              <w:spacing w:after="40" w:line="280"/>
            </w:pPr>
            <w:r>
              <w:rPr>
                <w:rFonts w:ascii="EYInterstate Light" w:cs="EYInterstate Light" w:eastAsia="EYInterstate Light" w:hAnsi="EYInterstate Light"/>
                <w:color w:val="1A1A24"/>
                <w:sz w:val="21"/>
                <w:szCs w:val="21"/>
              </w:rPr>
              <w:t xml:space="preserve">Uses only </w:t>
            </w:r>
            <w:r>
              <w:rPr>
                <w:rFonts w:ascii="EYInterstate" w:cs="EYInterstate" w:eastAsia="EYInterstate" w:hAnsi="EYInterstate"/>
                <w:b/>
                <w:bCs/>
                <w:color w:val="1A1A24"/>
                <w:sz w:val="21"/>
                <w:szCs w:val="21"/>
              </w:rPr>
              <w:t xml:space="preserve">public information</w:t>
            </w:r>
            <w:r>
              <w:rPr>
                <w:rFonts w:ascii="EYInterstate Light" w:cs="EYInterstate Light" w:eastAsia="EYInterstate Light" w:hAnsi="EYInterstate Light"/>
                <w:color w:val="1A1A24"/>
                <w:sz w:val="21"/>
                <w:szCs w:val="21"/>
              </w:rPr>
              <w:t xml:space="preserve">, and every finding can be traced to a quote and page number.</w:t>
            </w:r>
          </w:p>
          <w:p>
            <w:pPr>
              <w:pStyle w:val="ListParagraph"/>
              <w:numPr>
                <w:ilvl w:val="0"/>
                <w:numId w:val="2"/>
              </w:numPr>
              <w:spacing w:after="40" w:line="280"/>
            </w:pPr>
            <w:r>
              <w:rPr>
                <w:rFonts w:ascii="EYInterstate Light" w:cs="EYInterstate Light" w:eastAsia="EYInterstate Light" w:hAnsi="EYInterstate Light"/>
                <w:color w:val="1A1A24"/>
                <w:sz w:val="21"/>
                <w:szCs w:val="21"/>
              </w:rPr>
              <w:t xml:space="preserve">The same </w:t>
            </w:r>
            <w:r>
              <w:rPr>
                <w:rFonts w:ascii="EYInterstate" w:cs="EYInterstate" w:eastAsia="EYInterstate" w:hAnsi="EYInterstate"/>
                <w:b/>
                <w:bCs/>
                <w:color w:val="1A1A24"/>
                <w:sz w:val="21"/>
                <w:szCs w:val="21"/>
              </w:rPr>
              <w:t xml:space="preserve">scoring rules</w:t>
            </w:r>
            <w:r>
              <w:rPr>
                <w:rFonts w:ascii="EYInterstate Light" w:cs="EYInterstate Light" w:eastAsia="EYInterstate Light" w:hAnsi="EYInterstate Light"/>
                <w:color w:val="1A1A24"/>
                <w:sz w:val="21"/>
                <w:szCs w:val="21"/>
              </w:rPr>
              <w:t xml:space="preserve"> apply to every client, so results are comparable.</w:t>
            </w:r>
          </w:p>
          <w:p>
            <w:pPr>
              <w:pStyle w:val="ListParagraph"/>
              <w:numPr>
                <w:ilvl w:val="0"/>
                <w:numId w:val="2"/>
              </w:numPr>
              <w:spacing w:after="40" w:line="280"/>
            </w:pPr>
            <w:r>
              <w:rPr>
                <w:rFonts w:ascii="EYInterstate" w:cs="EYInterstate" w:eastAsia="EYInterstate" w:hAnsi="EYInterstate"/>
                <w:b/>
                <w:bCs/>
                <w:color w:val="1A1A24"/>
                <w:sz w:val="21"/>
                <w:szCs w:val="21"/>
              </w:rPr>
              <w:t xml:space="preserve">AI (Copilot) reads and drafts; Excel calculates; people check and decide.</w:t>
            </w:r>
          </w:p>
          <w:p>
            <w:pPr>
              <w:pStyle w:val="ListParagraph"/>
              <w:numPr>
                <w:ilvl w:val="0"/>
                <w:numId w:val="2"/>
              </w:numPr>
              <w:spacing w:after="40" w:line="280"/>
            </w:pPr>
            <w:r>
              <w:rPr>
                <w:rFonts w:ascii="EYInterstate Light" w:cs="EYInterstate Light" w:eastAsia="EYInterstate Light" w:hAnsi="EYInterstate Light"/>
                <w:color w:val="1A1A24"/>
                <w:sz w:val="21"/>
                <w:szCs w:val="21"/>
              </w:rPr>
              <w:t xml:space="preserve">Works for </w:t>
            </w:r>
            <w:r>
              <w:rPr>
                <w:rFonts w:ascii="EYInterstate" w:cs="EYInterstate" w:eastAsia="EYInterstate" w:hAnsi="EYInterstate"/>
                <w:b/>
                <w:bCs/>
                <w:color w:val="1A1A24"/>
                <w:sz w:val="21"/>
                <w:szCs w:val="21"/>
              </w:rPr>
              <w:t xml:space="preserve">any country</w:t>
            </w:r>
            <w:r>
              <w:rPr>
                <w:rFonts w:ascii="EYInterstate Light" w:cs="EYInterstate Light" w:eastAsia="EYInterstate Light" w:hAnsi="EYInterstate Light"/>
                <w:color w:val="1A1A24"/>
                <w:sz w:val="21"/>
                <w:szCs w:val="21"/>
              </w:rPr>
              <w:t xml:space="preserve"> in the EY NBSAP Nature Sizing tool (currently 11).</w:t>
            </w:r>
          </w:p>
          <w:p>
            <w:pPr>
              <w:pStyle w:val="ListParagraph"/>
              <w:numPr>
                <w:ilvl w:val="0"/>
                <w:numId w:val="2"/>
              </w:numPr>
              <w:spacing w:after="40" w:line="280"/>
            </w:pPr>
            <w:r>
              <w:rPr>
                <w:rFonts w:ascii="EYInterstate Light" w:cs="EYInterstate Light" w:eastAsia="EYInterstate Light" w:hAnsi="EYInterstate Light"/>
                <w:color w:val="1A1A24"/>
                <w:sz w:val="21"/>
                <w:szCs w:val="21"/>
              </w:rPr>
              <w:t xml:space="preserve">Pilot result for LBG: </w:t>
            </w:r>
            <w:r>
              <w:rPr>
                <w:rFonts w:ascii="EYInterstate" w:cs="EYInterstate" w:eastAsia="EYInterstate" w:hAnsi="EYInterstate"/>
                <w:b/>
                <w:bCs/>
                <w:color w:val="1A1A24"/>
                <w:sz w:val="21"/>
                <w:szCs w:val="21"/>
              </w:rPr>
              <w:t xml:space="preserve">flood and drought risk, habitat protection and water</w:t>
            </w:r>
            <w:r>
              <w:rPr>
                <w:rFonts w:ascii="EYInterstate Light" w:cs="EYInterstate Light" w:eastAsia="EYInterstate Light" w:hAnsi="EYInterstate Light"/>
                <w:color w:val="1A1A24"/>
                <w:sz w:val="21"/>
                <w:szCs w:val="21"/>
              </w:rPr>
              <w:t xml:space="preserve"> are the top priorities, and </w:t>
            </w:r>
            <w:r>
              <w:rPr>
                <w:rFonts w:ascii="EYInterstate" w:cs="EYInterstate" w:eastAsia="EYInterstate" w:hAnsi="EYInterstate"/>
                <w:b/>
                <w:bCs/>
                <w:color w:val="1A1A24"/>
                <w:sz w:val="21"/>
                <w:szCs w:val="21"/>
              </w:rPr>
              <w:t xml:space="preserve">agriculture</w:t>
            </w:r>
            <w:r>
              <w:rPr>
                <w:rFonts w:ascii="EYInterstate Light" w:cs="EYInterstate Light" w:eastAsia="EYInterstate Light" w:hAnsi="EYInterstate Light"/>
                <w:color w:val="1A1A24"/>
                <w:sz w:val="21"/>
                <w:szCs w:val="21"/>
              </w:rPr>
              <w:t xml:space="preserve"> (£6.8bn exposure) just misses High.</w:t>
            </w:r>
          </w:p>
        </w:tc>
      </w:tr>
    </w:tbl>
    <w:p>
      <w:pPr>
        <w:pStyle w:val="Heading1"/>
        <w:pBdr>
          <w:bottom w:val="single" w:color="FFE600" w:sz="12" w:space="6"/>
        </w:pBdr>
        <w:spacing w:after="160" w:before="360"/>
      </w:pPr>
      <w:r>
        <w:t xml:space="preserve">2. Why we built this</w:t>
      </w:r>
    </w:p>
    <w:p>
      <w:pPr>
        <w:pStyle w:val="Heading2"/>
        <w:keepNext/>
        <w:spacing w:after="100" w:before="240"/>
      </w:pPr>
      <w:r>
        <w:t xml:space="preserve">2.1 The background</w:t>
      </w:r>
    </w:p>
    <w:p>
      <w:pPr>
        <w:spacing w:after="120" w:line="300"/>
      </w:pPr>
      <w:r>
        <w:rPr>
          <w:rFonts w:ascii="EYInterstate Light" w:cs="EYInterstate Light" w:eastAsia="EYInterstate Light" w:hAnsi="EYInterstate Light"/>
          <w:color w:val="1A1A24"/>
          <w:sz w:val="21"/>
          <w:szCs w:val="21"/>
        </w:rPr>
        <w:t xml:space="preserve">Governments have committed to halt and reverse nature loss. Each country sets out how it will do this in a </w:t>
      </w:r>
      <w:r>
        <w:rPr>
          <w:rFonts w:ascii="EYInterstate" w:cs="EYInterstate" w:eastAsia="EYInterstate" w:hAnsi="EYInterstate"/>
          <w:b/>
          <w:bCs/>
          <w:color w:val="1A1A24"/>
          <w:sz w:val="21"/>
          <w:szCs w:val="21"/>
        </w:rPr>
        <w:t xml:space="preserve">National Biodiversity Strategy and Action Plan (NBSAP)</w:t>
      </w:r>
      <w:r>
        <w:rPr>
          <w:rFonts w:ascii="EYInterstate Light" w:cs="EYInterstate Light" w:eastAsia="EYInterstate Light" w:hAnsi="EYInterstate Light"/>
          <w:color w:val="1A1A24"/>
          <w:sz w:val="21"/>
          <w:szCs w:val="21"/>
        </w:rPr>
        <w:t xml:space="preserve">. In the UK, this is the Environmental Improvement Plan 2025.</w:t>
      </w:r>
    </w:p>
    <w:p>
      <w:pPr>
        <w:spacing w:after="120" w:line="300"/>
      </w:pPr>
      <w:r>
        <w:rPr>
          <w:rFonts w:ascii="EYInterstate Light" w:cs="EYInterstate Light" w:eastAsia="EYInterstate Light" w:hAnsi="EYInterstate Light"/>
          <w:color w:val="1A1A24"/>
          <w:sz w:val="21"/>
          <w:szCs w:val="21"/>
        </w:rPr>
        <w:t xml:space="preserve">NBSAPs create real activity in the economy, such as spending on flood defences, water quality, farming schemes and habitat restoration. EY CCaSS has built the </w:t>
      </w:r>
      <w:r>
        <w:rPr>
          <w:rFonts w:ascii="EYInterstate" w:cs="EYInterstate" w:eastAsia="EYInterstate" w:hAnsi="EYInterstate"/>
          <w:b/>
          <w:bCs/>
          <w:color w:val="1A1A24"/>
          <w:sz w:val="21"/>
          <w:szCs w:val="21"/>
        </w:rPr>
        <w:t xml:space="preserve">NBSAP Nature Sizing tool</w:t>
      </w:r>
      <w:r>
        <w:rPr>
          <w:rFonts w:ascii="EYInterstate Light" w:cs="EYInterstate Light" w:eastAsia="EYInterstate Light" w:hAnsi="EYInterstate Light"/>
          <w:color w:val="1A1A24"/>
          <w:sz w:val="21"/>
          <w:szCs w:val="21"/>
        </w:rPr>
        <w:t xml:space="preserve">, which records these national commitments and their value by topic for major countries.</w:t>
      </w:r>
    </w:p>
    <w:p>
      <w:pPr>
        <w:pStyle w:val="Heading2"/>
        <w:keepNext/>
        <w:spacing w:after="100" w:before="240"/>
      </w:pPr>
      <w:r>
        <w:t xml:space="preserve">2.2 The opportunity</w:t>
      </w:r>
    </w:p>
    <w:p>
      <w:pPr>
        <w:spacing w:after="120" w:line="300"/>
      </w:pPr>
      <w:r>
        <w:rPr>
          <w:rFonts w:ascii="EYInterstate Light" w:cs="EYInterstate Light" w:eastAsia="EYInterstate Light" w:hAnsi="EYInterstate Light"/>
          <w:color w:val="1A1A24"/>
          <w:sz w:val="21"/>
          <w:szCs w:val="21"/>
        </w:rPr>
        <w:t xml:space="preserve">Clients, especially banks, investors and large companies, are increasingly expected to understand their links to nature. Regulators and frameworks such as the TNFD (Taskforce on Nature-related Financial Disclosures) are pushing in the same direction.</w:t>
      </w:r>
    </w:p>
    <w:p>
      <w:pPr>
        <w:spacing w:after="120" w:line="300"/>
      </w:pPr>
      <w:r>
        <w:rPr>
          <w:rFonts w:ascii="EYInterstate Light" w:cs="EYInterstate Light" w:eastAsia="EYInterstate Light" w:hAnsi="EYInterstate Light"/>
          <w:color w:val="1A1A24"/>
          <w:sz w:val="21"/>
          <w:szCs w:val="21"/>
        </w:rPr>
        <w:t xml:space="preserve">By lining up what a client already does and discloses against what its government is prioritising, we can show the client </w:t>
      </w:r>
      <w:r>
        <w:rPr>
          <w:rFonts w:ascii="EYInterstate" w:cs="EYInterstate" w:eastAsia="EYInterstate" w:hAnsi="EYInterstate"/>
          <w:b/>
          <w:bCs/>
          <w:color w:val="1A1A24"/>
          <w:sz w:val="21"/>
          <w:szCs w:val="21"/>
        </w:rPr>
        <w:t xml:space="preserve">where the biggest overlaps and gaps are</w:t>
      </w:r>
      <w:r>
        <w:rPr>
          <w:rFonts w:ascii="EYInterstate Light" w:cs="EYInterstate Light" w:eastAsia="EYInterstate Light" w:hAnsi="EYInterstate Light"/>
          <w:color w:val="1A1A24"/>
          <w:sz w:val="21"/>
          <w:szCs w:val="21"/>
        </w:rPr>
        <w:t xml:space="preserve">. That gives EY a clear, evidence-based starting point for a conversation.</w:t>
      </w:r>
    </w:p>
    <w:p>
      <w:pPr>
        <w:pStyle w:val="Heading2"/>
        <w:keepNext/>
        <w:spacing w:after="100" w:before="240"/>
      </w:pPr>
      <w:r>
        <w:t xml:space="preserve">2.3 What we wanted to prove</w:t>
      </w:r>
    </w:p>
    <w:p>
      <w:pPr>
        <w:pStyle w:val="ListParagraph"/>
        <w:numPr>
          <w:ilvl w:val="0"/>
          <w:numId w:val="2"/>
        </w:numPr>
        <w:spacing w:after="60" w:line="290"/>
      </w:pPr>
      <w:r>
        <w:rPr>
          <w:rFonts w:ascii="EYInterstate Light" w:cs="EYInterstate Light" w:eastAsia="EYInterstate Light" w:hAnsi="EYInterstate Light"/>
          <w:color w:val="1A1A24"/>
          <w:sz w:val="21"/>
          <w:szCs w:val="21"/>
        </w:rPr>
        <w:t xml:space="preserve">The analysis can be done quickly from </w:t>
      </w:r>
      <w:r>
        <w:rPr>
          <w:rFonts w:ascii="EYInterstate" w:cs="EYInterstate" w:eastAsia="EYInterstate" w:hAnsi="EYInterstate"/>
          <w:b/>
          <w:bCs/>
          <w:color w:val="1A1A24"/>
          <w:sz w:val="21"/>
          <w:szCs w:val="21"/>
        </w:rPr>
        <w:t xml:space="preserve">public information only</w:t>
      </w:r>
      <w:r>
        <w:rPr>
          <w:rFonts w:ascii="EYInterstate Light" w:cs="EYInterstate Light" w:eastAsia="EYInterstate Light" w:hAnsi="EYInterstate Light"/>
          <w:color w:val="1A1A24"/>
          <w:sz w:val="21"/>
          <w:szCs w:val="21"/>
        </w:rPr>
        <w:t xml:space="preserve">.</w:t>
      </w:r>
    </w:p>
    <w:p>
      <w:pPr>
        <w:pStyle w:val="ListParagraph"/>
        <w:numPr>
          <w:ilvl w:val="0"/>
          <w:numId w:val="2"/>
        </w:numPr>
        <w:spacing w:after="60" w:line="290"/>
      </w:pPr>
      <w:r>
        <w:rPr>
          <w:rFonts w:ascii="EYInterstate Light" w:cs="EYInterstate Light" w:eastAsia="EYInterstate Light" w:hAnsi="EYInterstate Light"/>
          <w:color w:val="1A1A24"/>
          <w:sz w:val="21"/>
          <w:szCs w:val="21"/>
        </w:rPr>
        <w:t xml:space="preserve">The result is </w:t>
      </w:r>
      <w:r>
        <w:rPr>
          <w:rFonts w:ascii="EYInterstate" w:cs="EYInterstate" w:eastAsia="EYInterstate" w:hAnsi="EYInterstate"/>
          <w:b/>
          <w:bCs/>
          <w:color w:val="1A1A24"/>
          <w:sz w:val="21"/>
          <w:szCs w:val="21"/>
        </w:rPr>
        <w:t xml:space="preserve">consistent and repeatable</w:t>
      </w:r>
      <w:r>
        <w:rPr>
          <w:rFonts w:ascii="EYInterstate Light" w:cs="EYInterstate Light" w:eastAsia="EYInterstate Light" w:hAnsi="EYInterstate Light"/>
          <w:color w:val="1A1A24"/>
          <w:sz w:val="21"/>
          <w:szCs w:val="21"/>
        </w:rPr>
        <w:t xml:space="preserve">: the same steps and the same rules for every client and country.</w:t>
      </w:r>
    </w:p>
    <w:p>
      <w:pPr>
        <w:pStyle w:val="ListParagraph"/>
        <w:numPr>
          <w:ilvl w:val="0"/>
          <w:numId w:val="2"/>
        </w:numPr>
        <w:spacing w:after="60" w:line="290"/>
      </w:pPr>
      <w:r>
        <w:rPr>
          <w:rFonts w:ascii="EYInterstate" w:cs="EYInterstate" w:eastAsia="EYInterstate" w:hAnsi="EYInterstate"/>
          <w:b/>
          <w:bCs/>
          <w:color w:val="1A1A24"/>
          <w:sz w:val="21"/>
          <w:szCs w:val="21"/>
        </w:rPr>
        <w:t xml:space="preserve">AI tools</w:t>
      </w:r>
      <w:r>
        <w:rPr>
          <w:rFonts w:ascii="EYInterstate Light" w:cs="EYInterstate Light" w:eastAsia="EYInterstate Light" w:hAnsi="EYInterstate Light"/>
          <w:color w:val="1A1A24"/>
          <w:sz w:val="21"/>
          <w:szCs w:val="21"/>
        </w:rPr>
        <w:t xml:space="preserve"> available to EY (Microsoft Copilot) can do much of the reading and drafting, with people checking the output.</w:t>
      </w:r>
    </w:p>
    <w:p>
      <w:pPr>
        <w:pStyle w:val="Heading1"/>
        <w:pBdr>
          <w:bottom w:val="single" w:color="FFE600" w:sz="12" w:space="6"/>
        </w:pBdr>
        <w:spacing w:after="160" w:before="360"/>
      </w:pPr>
      <w:r>
        <w:t xml:space="preserve">3. 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Term</w:t>
            </w:r>
          </w:p>
        </w:tc>
        <w:tc>
          <w:tcPr>
            <w:tcW w:type="dxa" w:w="6426"/>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Meaning</w:t>
            </w:r>
          </w:p>
        </w:tc>
      </w:tr>
      <w:tr>
        <w:trPr>
          <w:cantSplit/>
        </w:trPr>
        <w:tc>
          <w:tcPr>
            <w:tcW w:type="dxa" w:w="26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NBSAP</w:t>
            </w:r>
          </w:p>
        </w:tc>
        <w:tc>
          <w:tcPr>
            <w:tcW w:type="dxa" w:w="64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National Biodiversity Strategy and Action Plan: a country’s official plan for protecting and restoring nature.</w:t>
            </w:r>
          </w:p>
        </w:tc>
      </w:tr>
      <w:tr>
        <w:trPr>
          <w:cantSplit/>
        </w:trPr>
        <w:tc>
          <w:tcPr>
            <w:tcW w:type="dxa" w:w="26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EY NBSAP Nature Sizing tool</w:t>
            </w:r>
          </w:p>
        </w:tc>
        <w:tc>
          <w:tcPr>
            <w:tcW w:type="dxa" w:w="64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EY workbook and Power BI tool listing NBSAP commitments and their value by topic, for 11 countries.</w:t>
            </w:r>
          </w:p>
        </w:tc>
      </w:tr>
      <w:tr>
        <w:trPr>
          <w:cantSplit/>
        </w:trPr>
        <w:tc>
          <w:tcPr>
            <w:tcW w:type="dxa" w:w="26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Theme / sub-theme</w:t>
            </w:r>
          </w:p>
        </w:tc>
        <w:tc>
          <w:tcPr>
            <w:tcW w:type="dxa" w:w="64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The tool groups nature topics into 5 themes and 15 sub-themes (for example Water → Water quality).</w:t>
            </w:r>
          </w:p>
        </w:tc>
      </w:tr>
      <w:tr>
        <w:trPr>
          <w:cantSplit/>
        </w:trPr>
        <w:tc>
          <w:tcPr>
            <w:tcW w:type="dxa" w:w="26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Evidence</w:t>
            </w:r>
          </w:p>
        </w:tc>
        <w:tc>
          <w:tcPr>
            <w:tcW w:type="dxa" w:w="64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A fact from a client document, recorded with an exact quote (25 words or fewer) and page number.</w:t>
            </w:r>
          </w:p>
        </w:tc>
      </w:tr>
      <w:tr>
        <w:trPr>
          <w:cantSplit/>
        </w:trPr>
        <w:tc>
          <w:tcPr>
            <w:tcW w:type="dxa" w:w="26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Exposure</w:t>
            </w:r>
          </w:p>
        </w:tc>
        <w:tc>
          <w:tcPr>
            <w:tcW w:type="dxa" w:w="64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The amount a bank lends to, or invests in, a sector, as disclosed by the client.</w:t>
            </w:r>
          </w:p>
        </w:tc>
      </w:tr>
      <w:tr>
        <w:trPr>
          <w:cantSplit/>
        </w:trPr>
        <w:tc>
          <w:tcPr>
            <w:tcW w:type="dxa" w:w="26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Nature priority sector</w:t>
            </w:r>
          </w:p>
        </w:tc>
        <w:tc>
          <w:tcPr>
            <w:tcW w:type="dxa" w:w="64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A sector the client itself identifies as having high impacts or dependencies on nature.</w:t>
            </w:r>
          </w:p>
        </w:tc>
      </w:tr>
      <w:tr>
        <w:trPr>
          <w:cantSplit/>
        </w:trPr>
        <w:tc>
          <w:tcPr>
            <w:tcW w:type="dxa" w:w="26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TNFD</w:t>
            </w:r>
          </w:p>
        </w:tc>
        <w:tc>
          <w:tcPr>
            <w:tcW w:type="dxa" w:w="64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Taskforce on Nature-related Financial Disclosures: a global framework for reporting nature risks.</w:t>
            </w:r>
          </w:p>
        </w:tc>
      </w:tr>
      <w:tr>
        <w:trPr>
          <w:cantSplit/>
        </w:trPr>
        <w:tc>
          <w:tcPr>
            <w:tcW w:type="dxa" w:w="26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BNG</w:t>
            </w:r>
          </w:p>
        </w:tc>
        <w:tc>
          <w:tcPr>
            <w:tcW w:type="dxa" w:w="64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Biodiversity Net Gain: a legal requirement in England for new developments to leave nature better off (at least 10%).</w:t>
            </w:r>
          </w:p>
        </w:tc>
      </w:tr>
      <w:tr>
        <w:trPr>
          <w:cantSplit/>
        </w:trPr>
        <w:tc>
          <w:tcPr>
            <w:tcW w:type="dxa" w:w="26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Tier</w:t>
            </w:r>
          </w:p>
        </w:tc>
        <w:tc>
          <w:tcPr>
            <w:tcW w:type="dxa" w:w="64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High, Medium or Low priority, based on the score.</w:t>
            </w:r>
          </w:p>
        </w:tc>
      </w:tr>
    </w:tbl>
    <w:p>
      <w:pPr>
        <w:pStyle w:val="Heading1"/>
        <w:pBdr>
          <w:bottom w:val="single" w:color="FFE600" w:sz="12" w:space="6"/>
        </w:pBdr>
        <w:spacing w:after="160" w:before="360"/>
      </w:pPr>
      <w:r>
        <w:t xml:space="preserve">4. The method, step by step</w:t>
      </w:r>
    </w:p>
    <w:p>
      <w:pPr>
        <w:pStyle w:val="Heading2"/>
        <w:keepNext/>
        <w:spacing w:after="100" w:before="240"/>
      </w:pPr>
      <w:r>
        <w:t xml:space="preserve">Step 1: Collect public information</w:t>
      </w:r>
    </w:p>
    <w:p>
      <w:pPr>
        <w:spacing w:after="120" w:line="300"/>
      </w:pPr>
      <w:r>
        <w:rPr>
          <w:rFonts w:ascii="EYInterstate Light" w:cs="EYInterstate Light" w:eastAsia="EYInterstate Light" w:hAnsi="EYInterstate Light"/>
          <w:color w:val="1A1A24"/>
          <w:sz w:val="21"/>
          <w:szCs w:val="21"/>
        </w:rPr>
        <w:t xml:space="preserve">We gather the client’s most recent public documents, ideally from the last 24 months:</w:t>
      </w:r>
    </w:p>
    <w:p>
      <w:pPr>
        <w:pStyle w:val="ListParagraph"/>
        <w:numPr>
          <w:ilvl w:val="0"/>
          <w:numId w:val="2"/>
        </w:numPr>
        <w:spacing w:after="60" w:line="290"/>
      </w:pPr>
      <w:r>
        <w:rPr>
          <w:rFonts w:ascii="EYInterstate Light" w:cs="EYInterstate Light" w:eastAsia="EYInterstate Light" w:hAnsi="EYInterstate Light"/>
          <w:color w:val="1A1A24"/>
          <w:sz w:val="21"/>
          <w:szCs w:val="21"/>
        </w:rPr>
        <w:t xml:space="preserve">Annual report and sustainability report</w:t>
      </w:r>
    </w:p>
    <w:p>
      <w:pPr>
        <w:pStyle w:val="ListParagraph"/>
        <w:numPr>
          <w:ilvl w:val="0"/>
          <w:numId w:val="2"/>
        </w:numPr>
        <w:spacing w:after="60" w:line="290"/>
      </w:pPr>
      <w:r>
        <w:rPr>
          <w:rFonts w:ascii="EYInterstate Light" w:cs="EYInterstate Light" w:eastAsia="EYInterstate Light" w:hAnsi="EYInterstate Light"/>
          <w:color w:val="1A1A24"/>
          <w:sz w:val="21"/>
          <w:szCs w:val="21"/>
        </w:rPr>
        <w:t xml:space="preserve">Sustainability data sheet: portfolio exposures by sector, targets and progress</w:t>
      </w:r>
    </w:p>
    <w:p>
      <w:pPr>
        <w:pStyle w:val="ListParagraph"/>
        <w:numPr>
          <w:ilvl w:val="0"/>
          <w:numId w:val="2"/>
        </w:numPr>
        <w:spacing w:after="60" w:line="290"/>
      </w:pPr>
      <w:r>
        <w:rPr>
          <w:rFonts w:ascii="EYInterstate Light" w:cs="EYInterstate Light" w:eastAsia="EYInterstate Light" w:hAnsi="EYInterstate Light"/>
          <w:color w:val="1A1A24"/>
          <w:sz w:val="21"/>
          <w:szCs w:val="21"/>
        </w:rPr>
        <w:t xml:space="preserve">Sustainable or green financing framework: what the client will finance</w:t>
      </w:r>
    </w:p>
    <w:p>
      <w:pPr>
        <w:pStyle w:val="ListParagraph"/>
        <w:numPr>
          <w:ilvl w:val="0"/>
          <w:numId w:val="2"/>
        </w:numPr>
        <w:spacing w:after="60" w:line="290"/>
      </w:pPr>
      <w:r>
        <w:rPr>
          <w:rFonts w:ascii="EYInterstate Light" w:cs="EYInterstate Light" w:eastAsia="EYInterstate Light" w:hAnsi="EYInterstate Light"/>
          <w:color w:val="1A1A24"/>
          <w:sz w:val="21"/>
          <w:szCs w:val="21"/>
        </w:rPr>
        <w:t xml:space="preserve">Nature, TNFD or climate reports, and thought-leadership papers</w:t>
      </w:r>
    </w:p>
    <w:p>
      <w:pPr>
        <w:pStyle w:val="ListParagraph"/>
        <w:numPr>
          <w:ilvl w:val="0"/>
          <w:numId w:val="2"/>
        </w:numPr>
        <w:spacing w:after="60" w:line="290"/>
      </w:pPr>
      <w:r>
        <w:rPr>
          <w:rFonts w:ascii="EYInterstate Light" w:cs="EYInterstate Light" w:eastAsia="EYInterstate Light" w:hAnsi="EYInterstate Light"/>
          <w:color w:val="1A1A24"/>
          <w:sz w:val="21"/>
          <w:szCs w:val="21"/>
        </w:rPr>
        <w:t xml:space="preserve">The country’s NBSAP document</w:t>
      </w:r>
    </w:p>
    <w:p>
      <w:pPr>
        <w:spacing w:after="120" w:line="300"/>
      </w:pPr>
      <w:r>
        <w:rPr>
          <w:rFonts w:ascii="EYInterstate" w:cs="EYInterstate" w:eastAsia="EYInterstate" w:hAnsi="EYInterstate"/>
          <w:b/>
          <w:bCs/>
          <w:color w:val="1A1A24"/>
          <w:sz w:val="21"/>
          <w:szCs w:val="21"/>
        </w:rPr>
        <w:t xml:space="preserve">Rule:</w:t>
      </w:r>
      <w:r>
        <w:rPr>
          <w:rFonts w:ascii="EYInterstate Light" w:cs="EYInterstate Light" w:eastAsia="EYInterstate Light" w:hAnsi="EYInterstate Light"/>
          <w:color w:val="1A1A24"/>
          <w:sz w:val="21"/>
          <w:szCs w:val="21"/>
        </w:rPr>
        <w:t xml:space="preserve"> no private information and no guesswork. If something is not in the documents, we say “not disclosed”.</w:t>
      </w:r>
    </w:p>
    <w:p>
      <w:pPr>
        <w:pStyle w:val="Heading2"/>
        <w:keepNext/>
        <w:spacing w:after="100" w:before="240"/>
      </w:pPr>
      <w:r>
        <w:t xml:space="preserve">Step 2: Extract the evidence</w:t>
      </w:r>
    </w:p>
    <w:p>
      <w:pPr>
        <w:spacing w:after="120" w:line="300"/>
      </w:pPr>
      <w:r>
        <w:rPr>
          <w:rFonts w:ascii="EYInterstate Light" w:cs="EYInterstate Light" w:eastAsia="EYInterstate Light" w:hAnsi="EYInterstate Light"/>
          <w:color w:val="1A1A24"/>
          <w:sz w:val="21"/>
          <w:szCs w:val="21"/>
        </w:rPr>
        <w:t xml:space="preserve">We read each document and record every nature-related fact in an </w:t>
      </w:r>
      <w:r>
        <w:rPr>
          <w:rFonts w:ascii="EYInterstate" w:cs="EYInterstate" w:eastAsia="EYInterstate" w:hAnsi="EYInterstate"/>
          <w:b/>
          <w:bCs/>
          <w:color w:val="1A1A24"/>
          <w:sz w:val="21"/>
          <w:szCs w:val="21"/>
        </w:rPr>
        <w:t xml:space="preserve">evidence log</w:t>
      </w:r>
      <w:r>
        <w:rPr>
          <w:rFonts w:ascii="EYInterstate Light" w:cs="EYInterstate Light" w:eastAsia="EYInterstate Light" w:hAnsi="EYInterstate Light"/>
          <w:color w:val="1A1A24"/>
          <w:sz w:val="21"/>
          <w:szCs w:val="21"/>
        </w:rPr>
        <w:t xml:space="preserve">. Each line shows:</w:t>
      </w:r>
    </w:p>
    <w:p>
      <w:pPr>
        <w:pStyle w:val="ListParagraph"/>
        <w:numPr>
          <w:ilvl w:val="0"/>
          <w:numId w:val="2"/>
        </w:numPr>
        <w:spacing w:after="60" w:line="290"/>
      </w:pPr>
      <w:r>
        <w:rPr>
          <w:rFonts w:ascii="EYInterstate Light" w:cs="EYInterstate Light" w:eastAsia="EYInterstate Light" w:hAnsi="EYInterstate Light"/>
          <w:color w:val="1A1A24"/>
          <w:sz w:val="21"/>
          <w:szCs w:val="21"/>
        </w:rPr>
        <w:t xml:space="preserve">the source and page number</w:t>
      </w:r>
    </w:p>
    <w:p>
      <w:pPr>
        <w:pStyle w:val="ListParagraph"/>
        <w:numPr>
          <w:ilvl w:val="0"/>
          <w:numId w:val="2"/>
        </w:numPr>
        <w:spacing w:after="60" w:line="290"/>
      </w:pPr>
      <w:r>
        <w:rPr>
          <w:rFonts w:ascii="EYInterstate Light" w:cs="EYInterstate Light" w:eastAsia="EYInterstate Light" w:hAnsi="EYInterstate Light"/>
          <w:color w:val="1A1A24"/>
          <w:sz w:val="21"/>
          <w:szCs w:val="21"/>
        </w:rPr>
        <w:t xml:space="preserve">an </w:t>
      </w:r>
      <w:r>
        <w:rPr>
          <w:rFonts w:ascii="EYInterstate" w:cs="EYInterstate" w:eastAsia="EYInterstate" w:hAnsi="EYInterstate"/>
          <w:b/>
          <w:bCs/>
          <w:color w:val="1A1A24"/>
          <w:sz w:val="21"/>
          <w:szCs w:val="21"/>
        </w:rPr>
        <w:t xml:space="preserve">exact quote or figure</w:t>
      </w:r>
      <w:r>
        <w:rPr>
          <w:rFonts w:ascii="EYInterstate Light" w:cs="EYInterstate Light" w:eastAsia="EYInterstate Light" w:hAnsi="EYInterstate Light"/>
          <w:color w:val="1A1A24"/>
          <w:sz w:val="21"/>
          <w:szCs w:val="21"/>
        </w:rPr>
        <w:t xml:space="preserve">, so anyone can check it</w:t>
      </w:r>
    </w:p>
    <w:p>
      <w:pPr>
        <w:pStyle w:val="ListParagraph"/>
        <w:numPr>
          <w:ilvl w:val="0"/>
          <w:numId w:val="2"/>
        </w:numPr>
        <w:spacing w:after="60" w:line="290"/>
      </w:pPr>
      <w:r>
        <w:rPr>
          <w:rFonts w:ascii="EYInterstate Light" w:cs="EYInterstate Light" w:eastAsia="EYInterstate Light" w:hAnsi="EYInterstate Light"/>
          <w:color w:val="1A1A24"/>
          <w:sz w:val="21"/>
          <w:szCs w:val="21"/>
        </w:rPr>
        <w:t xml:space="preserve">the type of fact: for example a target, an exposure, a financing deal, a policy or a regulation</w:t>
      </w:r>
    </w:p>
    <w:p>
      <w:pPr>
        <w:spacing w:after="120" w:line="300"/>
      </w:pPr>
      <w:r>
        <w:rPr>
          <w:rFonts w:ascii="EYInterstate Light" w:cs="EYInterstate Light" w:eastAsia="EYInterstate Light" w:hAnsi="EYInterstate Light"/>
          <w:color w:val="1A1A24"/>
          <w:sz w:val="21"/>
          <w:szCs w:val="21"/>
        </w:rPr>
        <w:t xml:space="preserve">We also label each fact by what it tells us about the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Label</w:t>
            </w:r>
          </w:p>
        </w:tc>
        <w:tc>
          <w:tcPr>
            <w:tcW w:type="dxa" w:w="33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Meaning</w:t>
            </w:r>
          </w:p>
        </w:tc>
        <w:tc>
          <w:tcPr>
            <w:tcW w:type="dxa" w:w="3826"/>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LBG example</w:t>
            </w:r>
          </w:p>
        </w:tc>
      </w:tr>
      <w:tr>
        <w:trPr>
          <w:cantSplit/>
        </w:trPr>
        <w:tc>
          <w:tcPr>
            <w:tcW w:type="dxa" w:w="19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Client exposure</w:t>
            </w:r>
          </w:p>
        </w:tc>
        <w:tc>
          <w:tcPr>
            <w:tcW w:type="dxa" w:w="33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How much the client lends to or invests in an area</w:t>
            </w:r>
          </w:p>
        </w:tc>
        <w:tc>
          <w:tcPr>
            <w:tcW w:type="dxa" w:w="38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£6.7bn lending exposure to agriculture</w:t>
            </w:r>
          </w:p>
        </w:tc>
      </w:tr>
      <w:tr>
        <w:trPr>
          <w:cantSplit/>
        </w:trPr>
        <w:tc>
          <w:tcPr>
            <w:tcW w:type="dxa" w:w="19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Client action</w:t>
            </w:r>
          </w:p>
        </w:tc>
        <w:tc>
          <w:tcPr>
            <w:tcW w:type="dxa" w:w="33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What the client has done, financed or made eligible</w:t>
            </w:r>
          </w:p>
        </w:tc>
        <w:tc>
          <w:tcPr>
            <w:tcW w:type="dxa" w:w="38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£120m long-term debt to the Haweswater Aqueduct project</w:t>
            </w:r>
          </w:p>
        </w:tc>
      </w:tr>
      <w:tr>
        <w:trPr>
          <w:cantSplit/>
        </w:trPr>
        <w:tc>
          <w:tcPr>
            <w:tcW w:type="dxa" w:w="19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Client position</w:t>
            </w:r>
          </w:p>
        </w:tc>
        <w:tc>
          <w:tcPr>
            <w:tcW w:type="dxa" w:w="33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What the client says or campaigns for</w:t>
            </w:r>
          </w:p>
        </w:tc>
        <w:tc>
          <w:tcPr>
            <w:tcW w:type="dxa" w:w="38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Calls for more green finance for UK farmers</w:t>
            </w:r>
          </w:p>
        </w:tc>
      </w:tr>
      <w:tr>
        <w:trPr>
          <w:cantSplit/>
        </w:trPr>
        <w:tc>
          <w:tcPr>
            <w:tcW w:type="dxa" w:w="19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External driver</w:t>
            </w:r>
          </w:p>
        </w:tc>
        <w:tc>
          <w:tcPr>
            <w:tcW w:type="dxa" w:w="33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Regulation or market trends mentioned</w:t>
            </w:r>
          </w:p>
        </w:tc>
        <w:tc>
          <w:tcPr>
            <w:tcW w:type="dxa" w:w="38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Biodiversity Net Gain mandatory in England since 2024</w:t>
            </w:r>
          </w:p>
        </w:tc>
      </w:tr>
    </w:tbl>
    <w:p>
      <w:pPr>
        <w:pStyle w:val="Heading2"/>
        <w:keepNext/>
        <w:spacing w:after="100" w:before="240"/>
      </w:pPr>
      <w:r>
        <w:t xml:space="preserve">Step 3: Map the evidence to national nature topics</w:t>
      </w:r>
    </w:p>
    <w:p>
      <w:pPr>
        <w:spacing w:after="120" w:line="300"/>
      </w:pPr>
      <w:r>
        <w:rPr>
          <w:rFonts w:ascii="EYInterstate Light" w:cs="EYInterstate Light" w:eastAsia="EYInterstate Light" w:hAnsi="EYInterstate Light"/>
          <w:color w:val="1A1A24"/>
          <w:sz w:val="21"/>
          <w:szCs w:val="21"/>
        </w:rPr>
        <w:t xml:space="preserve">Each fact is linked to one of the </w:t>
      </w:r>
      <w:r>
        <w:rPr>
          <w:rFonts w:ascii="EYInterstate" w:cs="EYInterstate" w:eastAsia="EYInterstate" w:hAnsi="EYInterstate"/>
          <w:b/>
          <w:bCs/>
          <w:color w:val="1A1A24"/>
          <w:sz w:val="21"/>
          <w:szCs w:val="21"/>
        </w:rPr>
        <w:t xml:space="preserve">15 sub-themes</w:t>
      </w:r>
      <w:r>
        <w:rPr>
          <w:rFonts w:ascii="EYInterstate Light" w:cs="EYInterstate Light" w:eastAsia="EYInterstate Light" w:hAnsi="EYInterstate Light"/>
          <w:color w:val="1A1A24"/>
          <w:sz w:val="21"/>
          <w:szCs w:val="21"/>
        </w:rPr>
        <w:t xml:space="preserve"> in the EY NBSAP Nature Sizing tool. This is what connects the client’s activity to the country’s priorities.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Theme</w:t>
            </w:r>
          </w:p>
        </w:tc>
        <w:tc>
          <w:tcPr>
            <w:tcW w:type="dxa" w:w="5926"/>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Sub-themes</w:t>
            </w:r>
          </w:p>
        </w:tc>
      </w:tr>
      <w:tr>
        <w:trPr>
          <w:cantSplit/>
        </w:trPr>
        <w:tc>
          <w:tcPr>
            <w:tcW w:type="dxa" w:w="31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Water</w:t>
            </w:r>
          </w:p>
        </w:tc>
        <w:tc>
          <w:tcPr>
            <w:tcW w:type="dxa" w:w="59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Water usage · Water quality · Water availability</w:t>
            </w:r>
          </w:p>
        </w:tc>
      </w:tr>
      <w:tr>
        <w:trPr>
          <w:cantSplit/>
        </w:trPr>
        <w:tc>
          <w:tcPr>
            <w:tcW w:type="dxa" w:w="31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Agriculture, forestry and fisheries</w:t>
            </w:r>
          </w:p>
        </w:tc>
        <w:tc>
          <w:tcPr>
            <w:tcW w:type="dxa" w:w="59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Sustainable forestry · Sustainable agriculture · Sustainable fisheries and aquaculture</w:t>
            </w:r>
          </w:p>
        </w:tc>
      </w:tr>
      <w:tr>
        <w:trPr>
          <w:cantSplit/>
        </w:trPr>
        <w:tc>
          <w:tcPr>
            <w:tcW w:type="dxa" w:w="31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Urban development and infrastructure</w:t>
            </w:r>
          </w:p>
        </w:tc>
        <w:tc>
          <w:tcPr>
            <w:tcW w:type="dxa" w:w="59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Nature-positive buildings · Green-blue infrastructure · Land-use change and habitat protection</w:t>
            </w:r>
          </w:p>
        </w:tc>
      </w:tr>
      <w:tr>
        <w:trPr>
          <w:cantSplit/>
        </w:trPr>
        <w:tc>
          <w:tcPr>
            <w:tcW w:type="dxa" w:w="31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Disaster management and adaptation</w:t>
            </w:r>
          </w:p>
        </w:tc>
        <w:tc>
          <w:tcPr>
            <w:tcW w:type="dxa" w:w="59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Risk reduction and prevention · Flood mitigation · Long-term adaptation and resilience</w:t>
            </w:r>
          </w:p>
        </w:tc>
      </w:tr>
      <w:tr>
        <w:trPr>
          <w:cantSplit/>
        </w:trPr>
        <w:tc>
          <w:tcPr>
            <w:tcW w:type="dxa" w:w="31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Pollution and waste</w:t>
            </w:r>
          </w:p>
        </w:tc>
        <w:tc>
          <w:tcPr>
            <w:tcW w:type="dxa" w:w="59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Sustainable packaging · Waste and circular economy · Air pollution and noise</w:t>
            </w:r>
          </w:p>
        </w:tc>
      </w:tr>
    </w:tbl>
    <w:p>
      <w:pPr>
        <w:spacing w:after="60"/>
      </w:pPr>
    </w:p>
    <w:p>
      <w:pPr>
        <w:spacing w:after="120" w:line="300"/>
      </w:pPr>
      <w:r>
        <w:rPr>
          <w:rFonts w:ascii="EYInterstate Light" w:cs="EYInterstate Light" w:eastAsia="EYInterstate Light" w:hAnsi="EYInterstate Light"/>
          <w:color w:val="1A1A24"/>
          <w:sz w:val="21"/>
          <w:szCs w:val="21"/>
        </w:rPr>
        <w:t xml:space="preserve">The sizing tool also tells us, for the chosen country, </w:t>
      </w:r>
      <w:r>
        <w:rPr>
          <w:rFonts w:ascii="EYInterstate" w:cs="EYInterstate" w:eastAsia="EYInterstate" w:hAnsi="EYInterstate"/>
          <w:b/>
          <w:bCs/>
          <w:color w:val="1A1A24"/>
          <w:sz w:val="21"/>
          <w:szCs w:val="21"/>
        </w:rPr>
        <w:t xml:space="preserve">how many NBSAP commitments</w:t>
      </w:r>
      <w:r>
        <w:rPr>
          <w:rFonts w:ascii="EYInterstate Light" w:cs="EYInterstate Light" w:eastAsia="EYInterstate Light" w:hAnsi="EYInterstate Light"/>
          <w:color w:val="1A1A24"/>
          <w:sz w:val="21"/>
          <w:szCs w:val="21"/>
        </w:rPr>
        <w:t xml:space="preserve"> there are for each sub-theme and </w:t>
      </w:r>
      <w:r>
        <w:rPr>
          <w:rFonts w:ascii="EYInterstate" w:cs="EYInterstate" w:eastAsia="EYInterstate" w:hAnsi="EYInterstate"/>
          <w:b/>
          <w:bCs/>
          <w:color w:val="1A1A24"/>
          <w:sz w:val="21"/>
          <w:szCs w:val="21"/>
        </w:rPr>
        <w:t xml:space="preserve">how much money</w:t>
      </w:r>
      <w:r>
        <w:rPr>
          <w:rFonts w:ascii="EYInterstate Light" w:cs="EYInterstate Light" w:eastAsia="EYInterstate Light" w:hAnsi="EYInterstate Light"/>
          <w:color w:val="1A1A24"/>
          <w:sz w:val="21"/>
          <w:szCs w:val="21"/>
        </w:rPr>
        <w:t xml:space="preserve"> they represent. We use both in the scoring.</w:t>
      </w:r>
    </w:p>
    <w:p>
      <w:pPr>
        <w:pStyle w:val="Heading2"/>
        <w:keepNext/>
        <w:spacing w:after="100" w:before="240"/>
      </w:pPr>
      <w:r>
        <w:t xml:space="preserve">Step 4: Score and rank the priorities</w:t>
      </w:r>
    </w:p>
    <w:p>
      <w:pPr>
        <w:spacing w:after="120" w:line="300"/>
      </w:pPr>
      <w:r>
        <w:rPr>
          <w:rFonts w:ascii="EYInterstate Light" w:cs="EYInterstate Light" w:eastAsia="EYInterstate Light" w:hAnsi="EYInterstate Light"/>
          <w:color w:val="1A1A24"/>
          <w:sz w:val="21"/>
          <w:szCs w:val="21"/>
        </w:rPr>
        <w:t xml:space="preserve">Each of the 15 sub-themes gets a score from </w:t>
      </w:r>
      <w:r>
        <w:rPr>
          <w:rFonts w:ascii="EYInterstate" w:cs="EYInterstate" w:eastAsia="EYInterstate" w:hAnsi="EYInterstate"/>
          <w:b/>
          <w:bCs/>
          <w:color w:val="1A1A24"/>
          <w:sz w:val="21"/>
          <w:szCs w:val="21"/>
        </w:rPr>
        <w:t xml:space="preserve">1 (low) to 5 (high)</w:t>
      </w:r>
      <w:r>
        <w:rPr>
          <w:rFonts w:ascii="EYInterstate Light" w:cs="EYInterstate Light" w:eastAsia="EYInterstate Light" w:hAnsi="EYInterstate Light"/>
          <w:color w:val="1A1A24"/>
          <w:sz w:val="21"/>
          <w:szCs w:val="21"/>
        </w:rPr>
        <w:t xml:space="preserve"> on five criteria. Together these answer: </w:t>
      </w:r>
      <w:r>
        <w:rPr>
          <w:rFonts w:ascii="EYInterstate" w:cs="EYInterstate" w:eastAsia="EYInterstate" w:hAnsi="EYInterstate"/>
          <w:b/>
          <w:bCs/>
          <w:color w:val="1A1A24"/>
          <w:sz w:val="21"/>
          <w:szCs w:val="21"/>
        </w:rPr>
        <w:t xml:space="preserve">does this topic matter to the client, is there room for the client to do more, and is the country pushing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3926"/>
        <w:gridCol w:w="1700"/>
      </w:tblGrid>
      <w:tr>
        <w:trPr>
          <w:tblHeader/>
        </w:trPr>
        <w:tc>
          <w:tcPr>
            <w:tcW w:type="dxa" w:w="25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Criterion</w:t>
            </w:r>
          </w:p>
        </w:tc>
        <w:tc>
          <w:tcPr>
            <w:tcW w:type="dxa" w:w="9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Weight</w:t>
            </w:r>
          </w:p>
        </w:tc>
        <w:tc>
          <w:tcPr>
            <w:tcW w:type="dxa" w:w="3926"/>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The question it answers</w:t>
            </w:r>
          </w:p>
        </w:tc>
        <w:tc>
          <w:tcPr>
            <w:tcW w:type="dxa" w:w="17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Scored by</w:t>
            </w:r>
          </w:p>
        </w:tc>
      </w:tr>
      <w:tr>
        <w:trPr>
          <w:cantSplit/>
        </w:trPr>
        <w:tc>
          <w:tcPr>
            <w:tcW w:type="dxa" w:w="25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C1 Materiality to client</w:t>
            </w:r>
          </w:p>
        </w:tc>
        <w:tc>
          <w:tcPr>
            <w:tcW w:type="dxa" w:w="9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30%</w:t>
            </w:r>
          </w:p>
        </w:tc>
        <w:tc>
          <w:tcPr>
            <w:tcW w:type="dxa" w:w="39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How important is this topic to the client’s business or lending?</w:t>
            </w:r>
          </w:p>
        </w:tc>
        <w:tc>
          <w:tcPr>
            <w:tcW w:type="dxa" w:w="17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Analyst (with AI support)</w:t>
            </w:r>
          </w:p>
        </w:tc>
      </w:tr>
      <w:tr>
        <w:trPr>
          <w:cantSplit/>
        </w:trPr>
        <w:tc>
          <w:tcPr>
            <w:tcW w:type="dxa" w:w="25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C2 Action gap</w:t>
            </w:r>
          </w:p>
        </w:tc>
        <w:tc>
          <w:tcPr>
            <w:tcW w:type="dxa" w:w="9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25%</w:t>
            </w:r>
          </w:p>
        </w:tc>
        <w:tc>
          <w:tcPr>
            <w:tcW w:type="dxa" w:w="39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How much room is there between what matters and what the client has done? A higher score means more room.</w:t>
            </w:r>
          </w:p>
        </w:tc>
        <w:tc>
          <w:tcPr>
            <w:tcW w:type="dxa" w:w="17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Analyst (with AI support)</w:t>
            </w:r>
          </w:p>
        </w:tc>
      </w:tr>
      <w:tr>
        <w:trPr>
          <w:cantSplit/>
        </w:trPr>
        <w:tc>
          <w:tcPr>
            <w:tcW w:type="dxa" w:w="25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C3 NBSAP emphasis</w:t>
            </w:r>
          </w:p>
        </w:tc>
        <w:tc>
          <w:tcPr>
            <w:tcW w:type="dxa" w:w="9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20%</w:t>
            </w:r>
          </w:p>
        </w:tc>
        <w:tc>
          <w:tcPr>
            <w:tcW w:type="dxa" w:w="39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How many national commitments are there for this topic?</w:t>
            </w:r>
          </w:p>
        </w:tc>
        <w:tc>
          <w:tcPr>
            <w:tcW w:type="dxa" w:w="17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Excel, from the sizing tool</w:t>
            </w:r>
          </w:p>
        </w:tc>
      </w:tr>
      <w:tr>
        <w:trPr>
          <w:cantSplit/>
        </w:trPr>
        <w:tc>
          <w:tcPr>
            <w:tcW w:type="dxa" w:w="25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C4 Regulatory and market momentum</w:t>
            </w:r>
          </w:p>
        </w:tc>
        <w:tc>
          <w:tcPr>
            <w:tcW w:type="dxa" w:w="9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15%</w:t>
            </w:r>
          </w:p>
        </w:tc>
        <w:tc>
          <w:tcPr>
            <w:tcW w:type="dxa" w:w="39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How strong are the rules and market pressures?</w:t>
            </w:r>
          </w:p>
        </w:tc>
        <w:tc>
          <w:tcPr>
            <w:tcW w:type="dxa" w:w="17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Analyst (with AI support)</w:t>
            </w:r>
          </w:p>
        </w:tc>
      </w:tr>
      <w:tr>
        <w:trPr>
          <w:cantSplit/>
        </w:trPr>
        <w:tc>
          <w:tcPr>
            <w:tcW w:type="dxa" w:w="25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C5 Market opportunity</w:t>
            </w:r>
          </w:p>
        </w:tc>
        <w:tc>
          <w:tcPr>
            <w:tcW w:type="dxa" w:w="9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10%</w:t>
            </w:r>
          </w:p>
        </w:tc>
        <w:tc>
          <w:tcPr>
            <w:tcW w:type="dxa" w:w="39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How large is the national investment in this topic compared with other topics?</w:t>
            </w:r>
          </w:p>
        </w:tc>
        <w:tc>
          <w:tcPr>
            <w:tcW w:type="dxa" w:w="17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Excel, from the sizing tool</w:t>
            </w:r>
          </w:p>
        </w:tc>
      </w:tr>
    </w:tbl>
    <w:p>
      <w:pPr>
        <w:spacing w:after="120"/>
      </w:pPr>
    </w:p>
    <w:p>
      <w:pPr>
        <w:spacing w:after="120" w:line="300"/>
      </w:pPr>
      <w:r>
        <w:rPr>
          <w:rFonts w:ascii="EYInterstate" w:cs="EYInterstate" w:eastAsia="EYInterstate" w:hAnsi="EYInterstate"/>
          <w:b/>
          <w:bCs/>
          <w:color w:val="1A1A24"/>
          <w:sz w:val="21"/>
          <w:szCs w:val="21"/>
        </w:rPr>
        <w:t xml:space="preserve">The final score</w:t>
      </w:r>
      <w:r>
        <w:rPr>
          <w:rFonts w:ascii="EYInterstate Light" w:cs="EYInterstate Light" w:eastAsia="EYInterstate Light" w:hAnsi="EYInterstate Light"/>
          <w:color w:val="1A1A24"/>
          <w:sz w:val="21"/>
          <w:szCs w:val="21"/>
        </w:rPr>
        <w:t xml:space="preserve"> is the weighted average of the five criteria. Each topic is then placed in a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26"/>
      </w:tblGrid>
      <w:tr>
        <w:trPr>
          <w:tblHeader/>
        </w:trPr>
        <w:tc>
          <w:tcPr>
            <w:tcW w:type="dxa" w:w="14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Tier</w:t>
            </w:r>
          </w:p>
        </w:tc>
        <w:tc>
          <w:tcPr>
            <w:tcW w:type="dxa" w:w="16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Score</w:t>
            </w:r>
          </w:p>
        </w:tc>
        <w:tc>
          <w:tcPr>
            <w:tcW w:type="dxa" w:w="6026"/>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What it means</w:t>
            </w:r>
          </w:p>
        </w:tc>
      </w:tr>
      <w:tr>
        <w:trPr>
          <w:cantSplit/>
        </w:trPr>
        <w:tc>
          <w:tcPr>
            <w:tcW w:type="dxa" w:w="1400"/>
            <w:tcBorders>
              <w:top w:val="single" w:color="C4C4CD" w:sz="4"/>
              <w:left w:val="single" w:color="C4C4CD" w:sz="4"/>
              <w:bottom w:val="single" w:color="C4C4CD" w:sz="4"/>
              <w:right w:val="single" w:color="C4C4CD" w:sz="4"/>
            </w:tcBorders>
            <w:shd w:fill="FFE600"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High</w:t>
            </w:r>
          </w:p>
        </w:tc>
        <w:tc>
          <w:tcPr>
            <w:tcW w:type="dxa" w:w="16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4.0 to 5.0</w:t>
            </w:r>
          </w:p>
        </w:tc>
        <w:tc>
          <w:tcPr>
            <w:tcW w:type="dxa" w:w="60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Strong overlap between client and national priorities, with clear room to act. Lead with these.</w:t>
            </w:r>
          </w:p>
        </w:tc>
      </w:tr>
      <w:tr>
        <w:trPr>
          <w:cantSplit/>
        </w:trPr>
        <w:tc>
          <w:tcPr>
            <w:tcW w:type="dxa" w:w="14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Medium</w:t>
            </w:r>
          </w:p>
        </w:tc>
        <w:tc>
          <w:tcPr>
            <w:tcW w:type="dxa" w:w="16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3.0 to 3.9</w:t>
            </w:r>
          </w:p>
        </w:tc>
        <w:tc>
          <w:tcPr>
            <w:tcW w:type="dxa" w:w="60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Relevant, but weaker evidence or national focus. Worth exploring.</w:t>
            </w:r>
          </w:p>
        </w:tc>
      </w:tr>
      <w:tr>
        <w:trPr>
          <w:cantSplit/>
        </w:trPr>
        <w:tc>
          <w:tcPr>
            <w:tcW w:type="dxa" w:w="14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Low</w:t>
            </w:r>
          </w:p>
        </w:tc>
        <w:tc>
          <w:tcPr>
            <w:tcW w:type="dxa" w:w="16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below 3.0</w:t>
            </w:r>
          </w:p>
        </w:tc>
        <w:tc>
          <w:tcPr>
            <w:tcW w:type="dxa" w:w="60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Little link to the client, or no evidence found.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FFF9C2" w:color="auto" w:val="clear"/>
            <w:tcMar>
              <w:top w:type="dxa" w:w="160"/>
              <w:left w:type="dxa" w:w="220"/>
              <w:bottom w:type="dxa" w:w="160"/>
              <w:right w:type="dxa" w:w="220"/>
            </w:tcMar>
          </w:tcPr>
          <w:p>
            <w:pPr>
              <w:spacing w:after="80"/>
            </w:pPr>
            <w:r>
              <w:rPr>
                <w:rFonts w:ascii="EYInterstate" w:cs="EYInterstate" w:eastAsia="EYInterstate" w:hAnsi="EYInterstate"/>
                <w:b/>
                <w:bCs/>
                <w:color w:val="1A1A24"/>
                <w:sz w:val="22"/>
                <w:szCs w:val="22"/>
              </w:rPr>
              <w:t xml:space="preserve">Worked example: LBG, Risk reduction and prevention</w:t>
            </w:r>
          </w:p>
          <w:p>
            <w:pPr>
              <w:pStyle w:val="ListParagraph"/>
              <w:numPr>
                <w:ilvl w:val="0"/>
                <w:numId w:val="2"/>
              </w:numPr>
              <w:spacing w:after="40" w:line="280"/>
            </w:pPr>
            <w:r>
              <w:rPr>
                <w:rFonts w:ascii="EYInterstate Light" w:cs="EYInterstate Light" w:eastAsia="EYInterstate Light" w:hAnsi="EYInterstate Light"/>
                <w:color w:val="1A1A24"/>
                <w:sz w:val="21"/>
                <w:szCs w:val="21"/>
              </w:rPr>
              <w:t xml:space="preserve">C1 Materiality = 5 (flood and drought resilience is central to LBG’s infrastructure lending) × 30% = 1.50</w:t>
            </w:r>
          </w:p>
          <w:p>
            <w:pPr>
              <w:pStyle w:val="ListParagraph"/>
              <w:numPr>
                <w:ilvl w:val="0"/>
                <w:numId w:val="2"/>
              </w:numPr>
              <w:spacing w:after="40" w:line="280"/>
            </w:pPr>
            <w:r>
              <w:rPr>
                <w:rFonts w:ascii="EYInterstate Light" w:cs="EYInterstate Light" w:eastAsia="EYInterstate Light" w:hAnsi="EYInterstate Light"/>
                <w:color w:val="1A1A24"/>
                <w:sz w:val="21"/>
                <w:szCs w:val="21"/>
              </w:rPr>
              <w:t xml:space="preserve">C2 Action gap = 3 (deals in place, but no adaptation-specific target) × 25% = 0.75</w:t>
            </w:r>
          </w:p>
          <w:p>
            <w:pPr>
              <w:pStyle w:val="ListParagraph"/>
              <w:numPr>
                <w:ilvl w:val="0"/>
                <w:numId w:val="2"/>
              </w:numPr>
              <w:spacing w:after="40" w:line="280"/>
            </w:pPr>
            <w:r>
              <w:rPr>
                <w:rFonts w:ascii="EYInterstate Light" w:cs="EYInterstate Light" w:eastAsia="EYInterstate Light" w:hAnsi="EYInterstate Light"/>
                <w:color w:val="1A1A24"/>
                <w:sz w:val="21"/>
                <w:szCs w:val="21"/>
              </w:rPr>
              <w:t xml:space="preserve">C3 NBSAP emphasis = 5 (6 UK commitments) × 20% = 1.00</w:t>
            </w:r>
          </w:p>
          <w:p>
            <w:pPr>
              <w:pStyle w:val="ListParagraph"/>
              <w:numPr>
                <w:ilvl w:val="0"/>
                <w:numId w:val="2"/>
              </w:numPr>
              <w:spacing w:after="40" w:line="280"/>
            </w:pPr>
            <w:r>
              <w:rPr>
                <w:rFonts w:ascii="EYInterstate Light" w:cs="EYInterstate Light" w:eastAsia="EYInterstate Light" w:hAnsi="EYInterstate Light"/>
                <w:color w:val="1A1A24"/>
                <w:sz w:val="21"/>
                <w:szCs w:val="21"/>
              </w:rPr>
              <w:t xml:space="preserve">C4 Momentum = 5 (new Bank of England / PRA rules on physical climate risk) × 15% = 0.75</w:t>
            </w:r>
          </w:p>
          <w:p>
            <w:pPr>
              <w:pStyle w:val="ListParagraph"/>
              <w:numPr>
                <w:ilvl w:val="0"/>
                <w:numId w:val="2"/>
              </w:numPr>
              <w:spacing w:after="40" w:line="280"/>
            </w:pPr>
            <w:r>
              <w:rPr>
                <w:rFonts w:ascii="EYInterstate Light" w:cs="EYInterstate Light" w:eastAsia="EYInterstate Light" w:hAnsi="EYInterstate Light"/>
                <w:color w:val="1A1A24"/>
                <w:sz w:val="21"/>
                <w:szCs w:val="21"/>
              </w:rPr>
              <w:t xml:space="preserve">C5 Opportunity = 5 (one of the largest UK commitment values) × 10% = 0.50</w:t>
            </w:r>
          </w:p>
          <w:p>
            <w:pPr>
              <w:pStyle w:val="ListParagraph"/>
              <w:numPr>
                <w:ilvl w:val="0"/>
                <w:numId w:val="2"/>
              </w:numPr>
              <w:spacing w:after="40" w:line="280"/>
            </w:pPr>
            <w:r>
              <w:rPr>
                <w:rFonts w:ascii="EYInterstate" w:cs="EYInterstate" w:eastAsia="EYInterstate" w:hAnsi="EYInterstate"/>
                <w:b/>
                <w:bCs/>
                <w:color w:val="1A1A24"/>
                <w:sz w:val="21"/>
                <w:szCs w:val="21"/>
              </w:rPr>
              <w:t xml:space="preserve">Total = 4.5 → High priority, ranked 1st.</w:t>
            </w:r>
          </w:p>
        </w:tc>
      </w:tr>
    </w:tbl>
    <w:p>
      <w:pPr>
        <w:spacing w:after="120"/>
      </w:pPr>
    </w:p>
    <w:p>
      <w:pPr>
        <w:spacing w:after="120" w:line="300"/>
      </w:pPr>
      <w:r>
        <w:rPr>
          <w:rFonts w:ascii="EYInterstate" w:cs="EYInterstate" w:eastAsia="EYInterstate" w:hAnsi="EYInterstate"/>
          <w:b/>
          <w:bCs/>
          <w:color w:val="1A1A24"/>
          <w:sz w:val="21"/>
          <w:szCs w:val="21"/>
        </w:rPr>
        <w:t xml:space="preserve">Confidence.</w:t>
      </w:r>
      <w:r>
        <w:rPr>
          <w:rFonts w:ascii="EYInterstate Light" w:cs="EYInterstate Light" w:eastAsia="EYInterstate Light" w:hAnsi="EYInterstate Light"/>
          <w:color w:val="1A1A24"/>
          <w:sz w:val="21"/>
          <w:szCs w:val="21"/>
        </w:rPr>
        <w:t xml:space="preserve"> Each score also gets a confidence rating, which shows how much evidence sits behind it:</w:t>
      </w:r>
    </w:p>
    <w:p>
      <w:pPr>
        <w:pStyle w:val="ListParagraph"/>
        <w:numPr>
          <w:ilvl w:val="0"/>
          <w:numId w:val="2"/>
        </w:numPr>
        <w:spacing w:after="60" w:line="290"/>
      </w:pPr>
      <w:r>
        <w:rPr>
          <w:rFonts w:ascii="EYInterstate" w:cs="EYInterstate" w:eastAsia="EYInterstate" w:hAnsi="EYInterstate"/>
          <w:b/>
          <w:bCs/>
          <w:color w:val="1A1A24"/>
          <w:sz w:val="21"/>
          <w:szCs w:val="21"/>
        </w:rPr>
        <w:t xml:space="preserve">High:</w:t>
      </w:r>
      <w:r>
        <w:rPr>
          <w:rFonts w:ascii="EYInterstate Light" w:cs="EYInterstate Light" w:eastAsia="EYInterstate Light" w:hAnsi="EYInterstate Light"/>
          <w:color w:val="1A1A24"/>
          <w:sz w:val="21"/>
          <w:szCs w:val="21"/>
        </w:rPr>
        <w:t xml:space="preserve"> at least 3 client facts from at least 2 documents.</w:t>
      </w:r>
    </w:p>
    <w:p>
      <w:pPr>
        <w:pStyle w:val="ListParagraph"/>
        <w:numPr>
          <w:ilvl w:val="0"/>
          <w:numId w:val="2"/>
        </w:numPr>
        <w:spacing w:after="60" w:line="290"/>
      </w:pPr>
      <w:r>
        <w:rPr>
          <w:rFonts w:ascii="EYInterstate" w:cs="EYInterstate" w:eastAsia="EYInterstate" w:hAnsi="EYInterstate"/>
          <w:b/>
          <w:bCs/>
          <w:color w:val="1A1A24"/>
          <w:sz w:val="21"/>
          <w:szCs w:val="21"/>
        </w:rPr>
        <w:t xml:space="preserve">Medium:</w:t>
      </w:r>
      <w:r>
        <w:rPr>
          <w:rFonts w:ascii="EYInterstate Light" w:cs="EYInterstate Light" w:eastAsia="EYInterstate Light" w:hAnsi="EYInterstate Light"/>
          <w:color w:val="1A1A24"/>
          <w:sz w:val="21"/>
          <w:szCs w:val="21"/>
        </w:rPr>
        <w:t xml:space="preserve"> some client evidence.</w:t>
      </w:r>
    </w:p>
    <w:p>
      <w:pPr>
        <w:pStyle w:val="ListParagraph"/>
        <w:numPr>
          <w:ilvl w:val="0"/>
          <w:numId w:val="2"/>
        </w:numPr>
        <w:spacing w:after="60" w:line="290"/>
      </w:pPr>
      <w:r>
        <w:rPr>
          <w:rFonts w:ascii="EYInterstate" w:cs="EYInterstate" w:eastAsia="EYInterstate" w:hAnsi="EYInterstate"/>
          <w:b/>
          <w:bCs/>
          <w:color w:val="1A1A24"/>
          <w:sz w:val="21"/>
          <w:szCs w:val="21"/>
        </w:rPr>
        <w:t xml:space="preserve">Low:</w:t>
      </w:r>
      <w:r>
        <w:rPr>
          <w:rFonts w:ascii="EYInterstate Light" w:cs="EYInterstate Light" w:eastAsia="EYInterstate Light" w:hAnsi="EYInterstate Light"/>
          <w:color w:val="1A1A24"/>
          <w:sz w:val="21"/>
          <w:szCs w:val="21"/>
        </w:rPr>
        <w:t xml:space="preserve"> no client evidence was found.</w:t>
      </w:r>
    </w:p>
    <w:p>
      <w:pPr>
        <w:spacing w:after="120" w:line="300"/>
      </w:pPr>
      <w:r>
        <w:rPr>
          <w:rFonts w:ascii="EYInterstate" w:cs="EYInterstate" w:eastAsia="EYInterstate" w:hAnsi="EYInterstate"/>
          <w:b/>
          <w:bCs/>
          <w:color w:val="1A1A24"/>
          <w:sz w:val="21"/>
          <w:szCs w:val="21"/>
        </w:rPr>
        <w:t xml:space="preserve">Safeguard against inflated gaps:</w:t>
      </w:r>
      <w:r>
        <w:rPr>
          <w:rFonts w:ascii="EYInterstate Light" w:cs="EYInterstate Light" w:eastAsia="EYInterstate Light" w:hAnsi="EYInterstate Light"/>
          <w:color w:val="1A1A24"/>
          <w:sz w:val="21"/>
          <w:szCs w:val="21"/>
        </w:rPr>
        <w:t xml:space="preserve"> a topic that does not matter to the client cannot score high on the action gap. C2 is capped at 2 when C1 is 2 or less.</w:t>
      </w:r>
    </w:p>
    <w:p>
      <w:pPr>
        <w:pStyle w:val="Heading2"/>
        <w:keepNext/>
        <w:spacing w:after="100" w:before="240"/>
      </w:pPr>
      <w:r>
        <w:t xml:space="preserve">Step 5: Present the results</w:t>
      </w:r>
    </w:p>
    <w:p>
      <w:pPr>
        <w:spacing w:after="120" w:line="300"/>
      </w:pPr>
      <w:r>
        <w:rPr>
          <w:rFonts w:ascii="EYInterstate Light" w:cs="EYInterstate Light" w:eastAsia="EYInterstate Light" w:hAnsi="EYInterstate Light"/>
          <w:color w:val="1A1A24"/>
          <w:sz w:val="21"/>
          <w:szCs w:val="21"/>
        </w:rPr>
        <w:t xml:space="preserve">The results are summarised in </w:t>
      </w:r>
      <w:r>
        <w:rPr>
          <w:rFonts w:ascii="EYInterstate" w:cs="EYInterstate" w:eastAsia="EYInterstate" w:hAnsi="EYInterstate"/>
          <w:b/>
          <w:bCs/>
          <w:color w:val="1A1A24"/>
          <w:sz w:val="21"/>
          <w:szCs w:val="21"/>
        </w:rPr>
        <w:t xml:space="preserve">three slides</w:t>
      </w:r>
      <w:r>
        <w:rPr>
          <w:rFonts w:ascii="EYInterstate Light" w:cs="EYInterstate Light" w:eastAsia="EYInterstate Light" w:hAnsi="EYInterstate Light"/>
          <w:color w:val="1A1A24"/>
          <w:sz w:val="21"/>
          <w:szCs w:val="21"/>
        </w:rPr>
        <w:t xml:space="preserve"> on the EY template, with sources listed in the speaker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Slide</w:t>
            </w:r>
          </w:p>
        </w:tc>
        <w:tc>
          <w:tcPr>
            <w:tcW w:type="dxa" w:w="6626"/>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Content</w:t>
            </w:r>
          </w:p>
        </w:tc>
      </w:tr>
      <w:tr>
        <w:trPr>
          <w:cantSplit/>
        </w:trPr>
        <w:tc>
          <w:tcPr>
            <w:tcW w:type="dxa" w:w="24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1. Executive summary</w:t>
            </w:r>
          </w:p>
        </w:tc>
        <w:tc>
          <w:tcPr>
            <w:tcW w:type="dxa" w:w="66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A short story in three cards: the national signal (what the country is investing in nature), the rules (regulation and market drivers) and why the client is exposed. Then the top four priorities and a one-line “so what”.</w:t>
            </w:r>
          </w:p>
        </w:tc>
      </w:tr>
      <w:tr>
        <w:trPr>
          <w:cantSplit/>
        </w:trPr>
        <w:tc>
          <w:tcPr>
            <w:tcW w:type="dxa" w:w="24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2. Priority vs exposure</w:t>
            </w:r>
          </w:p>
        </w:tc>
        <w:tc>
          <w:tcPr>
            <w:tcW w:type="dxa" w:w="66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Left: a bar chart of the High and Medium priorities. Right: tiles showing where the client’s exposure sits, each linked to the priorities it touches. Ends with a one-line “so what”.</w:t>
            </w:r>
          </w:p>
        </w:tc>
      </w:tr>
      <w:tr>
        <w:trPr>
          <w:cantSplit/>
        </w:trPr>
        <w:tc>
          <w:tcPr>
            <w:tcW w:type="dxa" w:w="24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3. How EY can assist</w:t>
            </w:r>
          </w:p>
        </w:tc>
        <w:tc>
          <w:tcPr>
            <w:tcW w:type="dxa" w:w="66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Four cards for the top priorities, each showing what the evidence shows, how EY could help and an example output, followed by next steps.</w:t>
            </w:r>
          </w:p>
        </w:tc>
      </w:tr>
    </w:tbl>
    <w:p>
      <w:pPr>
        <w:spacing w:after="60"/>
      </w:pPr>
    </w:p>
    <w:p>
      <w:pPr>
        <w:spacing w:after="120" w:line="300"/>
      </w:pPr>
      <w:r>
        <w:rPr>
          <w:rFonts w:ascii="EYInterstate Light" w:cs="EYInterstate Light" w:eastAsia="EYInterstate Light" w:hAnsi="EYInterstate Light"/>
          <w:color w:val="1A1A24"/>
          <w:sz w:val="21"/>
          <w:szCs w:val="21"/>
        </w:rPr>
        <w:t xml:space="preserve">The Excel workbook travels with the slides as the </w:t>
      </w:r>
      <w:r>
        <w:rPr>
          <w:rFonts w:ascii="EYInterstate" w:cs="EYInterstate" w:eastAsia="EYInterstate" w:hAnsi="EYInterstate"/>
          <w:b/>
          <w:bCs/>
          <w:color w:val="1A1A24"/>
          <w:sz w:val="21"/>
          <w:szCs w:val="21"/>
        </w:rPr>
        <w:t xml:space="preserve">evidence pack</w:t>
      </w:r>
      <w:r>
        <w:rPr>
          <w:rFonts w:ascii="EYInterstate Light" w:cs="EYInterstate Light" w:eastAsia="EYInterstate Light" w:hAnsi="EYInterstate Light"/>
          <w:color w:val="1A1A24"/>
          <w:sz w:val="21"/>
          <w:szCs w:val="21"/>
        </w:rPr>
        <w:t xml:space="preserve">: every number on the slides can be traced back to a quote.</w:t>
      </w:r>
    </w:p>
    <w:p>
      <w:pPr>
        <w:pStyle w:val="Heading1"/>
        <w:pBdr>
          <w:bottom w:val="single" w:color="FFE600" w:sz="12" w:space="6"/>
        </w:pBdr>
        <w:spacing w:after="160" w:before="360"/>
      </w:pPr>
      <w:r>
        <w:t xml:space="preserve">5. Who does what: people, AI and Excel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26"/>
        <w:gridCol w:w="2500"/>
      </w:tblGrid>
      <w:tr>
        <w:trPr>
          <w:tblHeader/>
        </w:trPr>
        <w:tc>
          <w:tcPr>
            <w:tcW w:type="dxa" w:w="23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
            </w:r>
          </w:p>
        </w:tc>
        <w:tc>
          <w:tcPr>
            <w:tcW w:type="dxa" w:w="4226"/>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Role</w:t>
            </w:r>
          </w:p>
        </w:tc>
        <w:tc>
          <w:tcPr>
            <w:tcW w:type="dxa" w:w="25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Why</w:t>
            </w:r>
          </w:p>
        </w:tc>
      </w:tr>
      <w:tr>
        <w:trPr>
          <w:cantSplit/>
        </w:trPr>
        <w:tc>
          <w:tcPr>
            <w:tcW w:type="dxa" w:w="23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Microsoft Copilot (AI agent)</w:t>
            </w:r>
          </w:p>
        </w:tc>
        <w:tc>
          <w:tcPr>
            <w:tcW w:type="dxa" w:w="42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Reads the documents, extracts quotes and figures, maps them to topics, suggests the three judgement scores, drafts slide text</w:t>
            </w:r>
          </w:p>
        </w:tc>
        <w:tc>
          <w:tcPr>
            <w:tcW w:type="dxa" w:w="25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Fast at reading and summarising large documents</w:t>
            </w:r>
          </w:p>
        </w:tc>
      </w:tr>
      <w:tr>
        <w:trPr>
          <w:cantSplit/>
        </w:trPr>
        <w:tc>
          <w:tcPr>
            <w:tcW w:type="dxa" w:w="23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Excel master template</w:t>
            </w:r>
          </w:p>
        </w:tc>
        <w:tc>
          <w:tcPr>
            <w:tcW w:type="dxa" w:w="42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Holds the topics and national data, calculates scores, tiers, ranks and confidence, runs automatic checks</w:t>
            </w:r>
          </w:p>
        </w:tc>
        <w:tc>
          <w:tcPr>
            <w:tcW w:type="dxa" w:w="25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Arithmetic is consistent and auditable for every client</w:t>
            </w:r>
          </w:p>
        </w:tc>
      </w:tr>
      <w:tr>
        <w:trPr>
          <w:cantSplit/>
        </w:trPr>
        <w:tc>
          <w:tcPr>
            <w:tcW w:type="dxa" w:w="23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PowerPoint deck skeleton</w:t>
            </w:r>
          </w:p>
        </w:tc>
        <w:tc>
          <w:tcPr>
            <w:tcW w:type="dxa" w:w="42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Fixed EY layout; Copilot in PowerPoint (or Find and Replace) fills in the text</w:t>
            </w:r>
          </w:p>
        </w:tc>
        <w:tc>
          <w:tcPr>
            <w:tcW w:type="dxa" w:w="25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Same professional format every time, without design work</w:t>
            </w:r>
          </w:p>
        </w:tc>
      </w:tr>
      <w:tr>
        <w:trPr>
          <w:cantSplit/>
        </w:trPr>
        <w:tc>
          <w:tcPr>
            <w:tcW w:type="dxa" w:w="23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EY analyst</w:t>
            </w:r>
          </w:p>
        </w:tc>
        <w:tc>
          <w:tcPr>
            <w:tcW w:type="dxa" w:w="42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Checks quotes and figures, reviews and approves every score, signs off the slides</w:t>
            </w:r>
          </w:p>
        </w:tc>
        <w:tc>
          <w:tcPr>
            <w:tcW w:type="dxa" w:w="25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Professional judgement and quality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FFF9C2" w:color="auto" w:val="clear"/>
            <w:tcMar>
              <w:top w:type="dxa" w:w="160"/>
              <w:left w:type="dxa" w:w="220"/>
              <w:bottom w:type="dxa" w:w="160"/>
              <w:right w:type="dxa" w:w="220"/>
            </w:tcMar>
          </w:tcPr>
          <w:p>
            <w:pPr>
              <w:spacing w:after="80"/>
            </w:pPr>
            <w:r>
              <w:rPr>
                <w:rFonts w:ascii="EYInterstate" w:cs="EYInterstate" w:eastAsia="EYInterstate" w:hAnsi="EYInterstate"/>
                <w:b/>
                <w:bCs/>
                <w:color w:val="1A1A24"/>
                <w:sz w:val="22"/>
                <w:szCs w:val="22"/>
              </w:rPr>
              <w:t xml:space="preserve">Safeguards when using AI</w:t>
            </w:r>
          </w:p>
          <w:p>
            <w:pPr>
              <w:pStyle w:val="ListParagraph"/>
              <w:numPr>
                <w:ilvl w:val="0"/>
                <w:numId w:val="2"/>
              </w:numPr>
              <w:spacing w:after="40" w:line="280"/>
            </w:pPr>
            <w:r>
              <w:rPr>
                <w:rFonts w:ascii="EYInterstate Light" w:cs="EYInterstate Light" w:eastAsia="EYInterstate Light" w:hAnsi="EYInterstate Light"/>
                <w:color w:val="1A1A24"/>
                <w:sz w:val="21"/>
                <w:szCs w:val="21"/>
              </w:rPr>
              <w:t xml:space="preserve">The AI may use </w:t>
            </w:r>
            <w:r>
              <w:rPr>
                <w:rFonts w:ascii="EYInterstate" w:cs="EYInterstate" w:eastAsia="EYInterstate" w:hAnsi="EYInterstate"/>
                <w:b/>
                <w:bCs/>
                <w:color w:val="1A1A24"/>
                <w:sz w:val="21"/>
                <w:szCs w:val="21"/>
              </w:rPr>
              <w:t xml:space="preserve">only the uploaded documents</w:t>
            </w:r>
            <w:r>
              <w:rPr>
                <w:rFonts w:ascii="EYInterstate Light" w:cs="EYInterstate Light" w:eastAsia="EYInterstate Light" w:hAnsi="EYInterstate Light"/>
                <w:color w:val="1A1A24"/>
                <w:sz w:val="21"/>
                <w:szCs w:val="21"/>
              </w:rPr>
              <w:t xml:space="preserve">, with no web search and no general knowledge about the client.</w:t>
            </w:r>
          </w:p>
          <w:p>
            <w:pPr>
              <w:pStyle w:val="ListParagraph"/>
              <w:numPr>
                <w:ilvl w:val="0"/>
                <w:numId w:val="2"/>
              </w:numPr>
              <w:spacing w:after="40" w:line="280"/>
            </w:pPr>
            <w:r>
              <w:rPr>
                <w:rFonts w:ascii="EYInterstate Light" w:cs="EYInterstate Light" w:eastAsia="EYInterstate Light" w:hAnsi="EYInterstate Light"/>
                <w:color w:val="1A1A24"/>
                <w:sz w:val="21"/>
                <w:szCs w:val="21"/>
              </w:rPr>
              <w:t xml:space="preserve">Every fact must have an </w:t>
            </w:r>
            <w:r>
              <w:rPr>
                <w:rFonts w:ascii="EYInterstate" w:cs="EYInterstate" w:eastAsia="EYInterstate" w:hAnsi="EYInterstate"/>
                <w:b/>
                <w:bCs/>
                <w:color w:val="1A1A24"/>
                <w:sz w:val="21"/>
                <w:szCs w:val="21"/>
              </w:rPr>
              <w:t xml:space="preserve">exact quote and page number</w:t>
            </w:r>
            <w:r>
              <w:rPr>
                <w:rFonts w:ascii="EYInterstate Light" w:cs="EYInterstate Light" w:eastAsia="EYInterstate Light" w:hAnsi="EYInterstate Light"/>
                <w:color w:val="1A1A24"/>
                <w:sz w:val="21"/>
                <w:szCs w:val="21"/>
              </w:rPr>
              <w:t xml:space="preserve">, and the analyst spot-checks them.</w:t>
            </w:r>
          </w:p>
          <w:p>
            <w:pPr>
              <w:pStyle w:val="ListParagraph"/>
              <w:numPr>
                <w:ilvl w:val="0"/>
                <w:numId w:val="2"/>
              </w:numPr>
              <w:spacing w:after="40" w:line="280"/>
            </w:pPr>
            <w:r>
              <w:rPr>
                <w:rFonts w:ascii="EYInterstate Light" w:cs="EYInterstate Light" w:eastAsia="EYInterstate Light" w:hAnsi="EYInterstate Light"/>
                <w:color w:val="1A1A24"/>
                <w:sz w:val="21"/>
                <w:szCs w:val="21"/>
              </w:rPr>
              <w:t xml:space="preserve">The AI </w:t>
            </w:r>
            <w:r>
              <w:rPr>
                <w:rFonts w:ascii="EYInterstate" w:cs="EYInterstate" w:eastAsia="EYInterstate" w:hAnsi="EYInterstate"/>
                <w:b/>
                <w:bCs/>
                <w:color w:val="1A1A24"/>
                <w:sz w:val="21"/>
                <w:szCs w:val="21"/>
              </w:rPr>
              <w:t xml:space="preserve">does not calculate</w:t>
            </w:r>
            <w:r>
              <w:rPr>
                <w:rFonts w:ascii="EYInterstate Light" w:cs="EYInterstate Light" w:eastAsia="EYInterstate Light" w:hAnsi="EYInterstate Light"/>
                <w:color w:val="1A1A24"/>
                <w:sz w:val="21"/>
                <w:szCs w:val="21"/>
              </w:rPr>
              <w:t xml:space="preserve"> final scores or ranks; Excel does.</w:t>
            </w:r>
          </w:p>
          <w:p>
            <w:pPr>
              <w:pStyle w:val="ListParagraph"/>
              <w:numPr>
                <w:ilvl w:val="0"/>
                <w:numId w:val="2"/>
              </w:numPr>
              <w:spacing w:after="40" w:line="280"/>
            </w:pPr>
            <w:r>
              <w:rPr>
                <w:rFonts w:ascii="EYInterstate Light" w:cs="EYInterstate Light" w:eastAsia="EYInterstate Light" w:hAnsi="EYInterstate Light"/>
                <w:color w:val="1A1A24"/>
                <w:sz w:val="21"/>
                <w:szCs w:val="21"/>
              </w:rPr>
              <w:t xml:space="preserve">Interpretation is labelled </w:t>
            </w:r>
            <w:r>
              <w:rPr>
                <w:rFonts w:ascii="EYInterstate" w:cs="EYInterstate" w:eastAsia="EYInterstate" w:hAnsi="EYInterstate"/>
                <w:b/>
                <w:bCs/>
                <w:color w:val="1A1A24"/>
                <w:sz w:val="21"/>
                <w:szCs w:val="21"/>
              </w:rPr>
              <w:t xml:space="preserve">“EY view”</w:t>
            </w:r>
            <w:r>
              <w:rPr>
                <w:rFonts w:ascii="EYInterstate Light" w:cs="EYInterstate Light" w:eastAsia="EYInterstate Light" w:hAnsi="EYInterstate Light"/>
                <w:color w:val="1A1A24"/>
                <w:sz w:val="21"/>
                <w:szCs w:val="21"/>
              </w:rPr>
              <w:t xml:space="preserve">, so it is kept separate from facts.</w:t>
            </w:r>
          </w:p>
          <w:p>
            <w:pPr>
              <w:pStyle w:val="ListParagraph"/>
              <w:numPr>
                <w:ilvl w:val="0"/>
                <w:numId w:val="2"/>
              </w:numPr>
              <w:spacing w:after="40" w:line="280"/>
            </w:pPr>
            <w:r>
              <w:rPr>
                <w:rFonts w:ascii="EYInterstate Light" w:cs="EYInterstate Light" w:eastAsia="EYInterstate Light" w:hAnsi="EYInterstate Light"/>
                <w:color w:val="1A1A24"/>
                <w:sz w:val="21"/>
                <w:szCs w:val="21"/>
              </w:rPr>
              <w:t xml:space="preserve">Client and EY data stay inside </w:t>
            </w:r>
            <w:r>
              <w:rPr>
                <w:rFonts w:ascii="EYInterstate" w:cs="EYInterstate" w:eastAsia="EYInterstate" w:hAnsi="EYInterstate"/>
                <w:b/>
                <w:bCs/>
                <w:color w:val="1A1A24"/>
                <w:sz w:val="21"/>
                <w:szCs w:val="21"/>
              </w:rPr>
              <w:t xml:space="preserve">EY-approved tools</w:t>
            </w:r>
            <w:r>
              <w:rPr>
                <w:rFonts w:ascii="EYInterstate Light" w:cs="EYInterstate Light" w:eastAsia="EYInterstate Light" w:hAnsi="EYInterstate Light"/>
                <w:color w:val="1A1A24"/>
                <w:sz w:val="21"/>
                <w:szCs w:val="21"/>
              </w:rPr>
              <w:t xml:space="preserve">.</w:t>
            </w:r>
          </w:p>
        </w:tc>
      </w:tr>
    </w:tbl>
    <w:p>
      <w:pPr>
        <w:pStyle w:val="Heading1"/>
        <w:pBdr>
          <w:bottom w:val="single" w:color="FFE600" w:sz="12" w:space="6"/>
        </w:pBdr>
        <w:spacing w:after="160" w:before="360"/>
      </w:pPr>
      <w:r>
        <w:t xml:space="preserve">6. Pilot result: Lloyds Banking Group (UK)</w:t>
      </w:r>
    </w:p>
    <w:p>
      <w:pPr>
        <w:spacing w:after="120" w:line="300"/>
      </w:pPr>
      <w:r>
        <w:rPr>
          <w:rFonts w:ascii="EYInterstate" w:cs="EYInterstate" w:eastAsia="EYInterstate" w:hAnsi="EYInterstate"/>
          <w:b/>
          <w:bCs/>
          <w:color w:val="1A1A24"/>
          <w:sz w:val="21"/>
          <w:szCs w:val="21"/>
        </w:rPr>
        <w:t xml:space="preserve">Sources reviewed:</w:t>
      </w:r>
      <w:r>
        <w:rPr>
          <w:rFonts w:ascii="EYInterstate Light" w:cs="EYInterstate Light" w:eastAsia="EYInterstate Light" w:hAnsi="EYInterstate Light"/>
          <w:color w:val="1A1A24"/>
          <w:sz w:val="21"/>
          <w:szCs w:val="21"/>
        </w:rPr>
        <w:t xml:space="preserve"> LBG “Working with nature” (2024), “Built to Last” (2026), Sustainability Data Sheet 2025 and Sustainable Financing Framework 2025, plus the UK rows of the EY NBSAP Nature Sizing tool. In total, 60 pieces of evidence were logged.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800"/>
        <w:gridCol w:w="1000"/>
        <w:gridCol w:w="3626"/>
      </w:tblGrid>
      <w:tr>
        <w:trPr>
          <w:tblHeader/>
        </w:trPr>
        <w:tc>
          <w:tcPr>
            <w:tcW w:type="dxa" w:w="7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Rank</w:t>
            </w:r>
          </w:p>
        </w:tc>
        <w:tc>
          <w:tcPr>
            <w:tcW w:type="dxa" w:w="29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Sub-theme</w:t>
            </w:r>
          </w:p>
        </w:tc>
        <w:tc>
          <w:tcPr>
            <w:tcW w:type="dxa" w:w="8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Score</w:t>
            </w:r>
          </w:p>
        </w:tc>
        <w:tc>
          <w:tcPr>
            <w:tcW w:type="dxa" w:w="10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Tier</w:t>
            </w:r>
          </w:p>
        </w:tc>
        <w:tc>
          <w:tcPr>
            <w:tcW w:type="dxa" w:w="3626"/>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Why it ranks here</w:t>
            </w:r>
          </w:p>
        </w:tc>
      </w:tr>
      <w:tr>
        <w:trPr>
          <w:cantSplit/>
        </w:trPr>
        <w:tc>
          <w:tcPr>
            <w:tcW w:type="dxa" w:w="7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1</w:t>
            </w:r>
          </w:p>
        </w:tc>
        <w:tc>
          <w:tcPr>
            <w:tcW w:type="dxa" w:w="29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Risk reduction and prevention</w:t>
            </w:r>
          </w:p>
        </w:tc>
        <w:tc>
          <w:tcPr>
            <w:tcW w:type="dxa" w:w="8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4.5</w:t>
            </w:r>
          </w:p>
        </w:tc>
        <w:tc>
          <w:tcPr>
            <w:tcW w:type="dxa" w:w="1000"/>
            <w:tcBorders>
              <w:top w:val="single" w:color="C4C4CD" w:sz="4"/>
              <w:left w:val="single" w:color="C4C4CD" w:sz="4"/>
              <w:bottom w:val="single" w:color="C4C4CD" w:sz="4"/>
              <w:right w:val="single" w:color="C4C4CD" w:sz="4"/>
            </w:tcBorders>
            <w:shd w:fill="FFE600"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High</w:t>
            </w:r>
          </w:p>
        </w:tc>
        <w:tc>
          <w:tcPr>
            <w:tcW w:type="dxa" w:w="36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Flood and drought resilience central to LBG deals; large UK commitments</w:t>
            </w:r>
          </w:p>
        </w:tc>
      </w:tr>
      <w:tr>
        <w:trPr>
          <w:cantSplit/>
        </w:trPr>
        <w:tc>
          <w:tcPr>
            <w:tcW w:type="dxa" w:w="7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2</w:t>
            </w:r>
          </w:p>
        </w:tc>
        <w:tc>
          <w:tcPr>
            <w:tcW w:type="dxa" w:w="29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Land-use change and habitat protection</w:t>
            </w:r>
          </w:p>
        </w:tc>
        <w:tc>
          <w:tcPr>
            <w:tcW w:type="dxa" w:w="8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4.2</w:t>
            </w:r>
          </w:p>
        </w:tc>
        <w:tc>
          <w:tcPr>
            <w:tcW w:type="dxa" w:w="1000"/>
            <w:tcBorders>
              <w:top w:val="single" w:color="C4C4CD" w:sz="4"/>
              <w:left w:val="single" w:color="C4C4CD" w:sz="4"/>
              <w:bottom w:val="single" w:color="C4C4CD" w:sz="4"/>
              <w:right w:val="single" w:color="C4C4CD" w:sz="4"/>
            </w:tcBorders>
            <w:shd w:fill="FFE600"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High</w:t>
            </w:r>
          </w:p>
        </w:tc>
        <w:tc>
          <w:tcPr>
            <w:tcW w:type="dxa" w:w="36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£5.9bn construction exposure; Biodiversity Net Gain now mandatory</w:t>
            </w:r>
          </w:p>
        </w:tc>
      </w:tr>
      <w:tr>
        <w:trPr>
          <w:cantSplit/>
        </w:trPr>
        <w:tc>
          <w:tcPr>
            <w:tcW w:type="dxa" w:w="7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3</w:t>
            </w:r>
          </w:p>
        </w:tc>
        <w:tc>
          <w:tcPr>
            <w:tcW w:type="dxa" w:w="29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Water availability</w:t>
            </w:r>
          </w:p>
        </w:tc>
        <w:tc>
          <w:tcPr>
            <w:tcW w:type="dxa" w:w="8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4.0</w:t>
            </w:r>
          </w:p>
        </w:tc>
        <w:tc>
          <w:tcPr>
            <w:tcW w:type="dxa" w:w="1000"/>
            <w:tcBorders>
              <w:top w:val="single" w:color="C4C4CD" w:sz="4"/>
              <w:left w:val="single" w:color="C4C4CD" w:sz="4"/>
              <w:bottom w:val="single" w:color="C4C4CD" w:sz="4"/>
              <w:right w:val="single" w:color="C4C4CD" w:sz="4"/>
            </w:tcBorders>
            <w:shd w:fill="FFE600"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High</w:t>
            </w:r>
          </w:p>
        </w:tc>
        <w:tc>
          <w:tcPr>
            <w:tcW w:type="dxa" w:w="36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£120m Haweswater Aqueduct debt; drought risk</w:t>
            </w:r>
          </w:p>
        </w:tc>
      </w:tr>
      <w:tr>
        <w:trPr>
          <w:cantSplit/>
        </w:trPr>
        <w:tc>
          <w:tcPr>
            <w:tcW w:type="dxa" w:w="7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4</w:t>
            </w:r>
          </w:p>
        </w:tc>
        <w:tc>
          <w:tcPr>
            <w:tcW w:type="dxa" w:w="29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Water quality</w:t>
            </w:r>
          </w:p>
        </w:tc>
        <w:tc>
          <w:tcPr>
            <w:tcW w:type="dxa" w:w="8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4.0</w:t>
            </w:r>
          </w:p>
        </w:tc>
        <w:tc>
          <w:tcPr>
            <w:tcW w:type="dxa" w:w="1000"/>
            <w:tcBorders>
              <w:top w:val="single" w:color="C4C4CD" w:sz="4"/>
              <w:left w:val="single" w:color="C4C4CD" w:sz="4"/>
              <w:bottom w:val="single" w:color="C4C4CD" w:sz="4"/>
              <w:right w:val="single" w:color="C4C4CD" w:sz="4"/>
            </w:tcBorders>
            <w:shd w:fill="FFE600"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High</w:t>
            </w:r>
          </w:p>
        </w:tc>
        <w:tc>
          <w:tcPr>
            <w:tcW w:type="dxa" w:w="36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£12.1bn energy and water supply exposure; wastewater finance eligible</w:t>
            </w:r>
          </w:p>
        </w:tc>
      </w:tr>
      <w:tr>
        <w:trPr>
          <w:cantSplit/>
        </w:trPr>
        <w:tc>
          <w:tcPr>
            <w:tcW w:type="dxa" w:w="7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5</w:t>
            </w:r>
          </w:p>
        </w:tc>
        <w:tc>
          <w:tcPr>
            <w:tcW w:type="dxa" w:w="29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Sustainable agriculture</w:t>
            </w:r>
          </w:p>
        </w:tc>
        <w:tc>
          <w:tcPr>
            <w:tcW w:type="dxa" w:w="8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3.9</w:t>
            </w:r>
          </w:p>
        </w:tc>
        <w:tc>
          <w:tcPr>
            <w:tcW w:type="dxa" w:w="10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Medium</w:t>
            </w:r>
          </w:p>
        </w:tc>
        <w:tc>
          <w:tcPr>
            <w:tcW w:type="dxa" w:w="36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£6.8bn agriculture, forestry and fishing exposure, but only two UK commitments</w:t>
            </w:r>
          </w:p>
        </w:tc>
      </w:tr>
    </w:tbl>
    <w:p>
      <w:pPr>
        <w:spacing w:after="120"/>
      </w:pPr>
    </w:p>
    <w:p>
      <w:pPr>
        <w:spacing w:after="120" w:line="300"/>
      </w:pPr>
      <w:r>
        <w:rPr>
          <w:rFonts w:ascii="EYInterstate" w:cs="EYInterstate" w:eastAsia="EYInterstate" w:hAnsi="EYInterstate"/>
          <w:b/>
          <w:bCs/>
          <w:color w:val="1A1A24"/>
          <w:sz w:val="21"/>
          <w:szCs w:val="21"/>
        </w:rPr>
        <w:t xml:space="preserve">What we found:</w:t>
      </w:r>
    </w:p>
    <w:p>
      <w:pPr>
        <w:pStyle w:val="ListParagraph"/>
        <w:numPr>
          <w:ilvl w:val="0"/>
          <w:numId w:val="2"/>
        </w:numPr>
        <w:spacing w:after="60" w:line="290"/>
      </w:pPr>
      <w:r>
        <w:rPr>
          <w:rFonts w:ascii="EYInterstate" w:cs="EYInterstate" w:eastAsia="EYInterstate" w:hAnsi="EYInterstate"/>
          <w:b/>
          <w:bCs/>
          <w:color w:val="1A1A24"/>
          <w:sz w:val="21"/>
          <w:szCs w:val="21"/>
        </w:rPr>
        <w:t xml:space="preserve">Exposure:</w:t>
      </w:r>
      <w:r>
        <w:rPr>
          <w:rFonts w:ascii="EYInterstate Light" w:cs="EYInterstate Light" w:eastAsia="EYInterstate Light" w:hAnsi="EYInterstate Light"/>
          <w:color w:val="1A1A24"/>
          <w:sz w:val="21"/>
          <w:szCs w:val="21"/>
        </w:rPr>
        <w:t xml:space="preserve"> LBG reports £60.0bn (9.3% of the Group) in nature priority sectors.</w:t>
      </w:r>
    </w:p>
    <w:p>
      <w:pPr>
        <w:pStyle w:val="ListParagraph"/>
        <w:numPr>
          <w:ilvl w:val="0"/>
          <w:numId w:val="2"/>
        </w:numPr>
        <w:spacing w:after="60" w:line="290"/>
      </w:pPr>
      <w:r>
        <w:rPr>
          <w:rFonts w:ascii="EYInterstate" w:cs="EYInterstate" w:eastAsia="EYInterstate" w:hAnsi="EYInterstate"/>
          <w:b/>
          <w:bCs/>
          <w:color w:val="1A1A24"/>
          <w:sz w:val="21"/>
          <w:szCs w:val="21"/>
        </w:rPr>
        <w:t xml:space="preserve">Action:</w:t>
      </w:r>
      <w:r>
        <w:rPr>
          <w:rFonts w:ascii="EYInterstate Light" w:cs="EYInterstate Light" w:eastAsia="EYInterstate Light" w:hAnsi="EYInterstate Light"/>
          <w:color w:val="1A1A24"/>
          <w:sz w:val="21"/>
          <w:szCs w:val="21"/>
        </w:rPr>
        <w:t xml:space="preserve"> nature is an eligible category in LBG’s 2025 financing framework, and LBG has financed several resilience projects.</w:t>
      </w:r>
    </w:p>
    <w:p>
      <w:pPr>
        <w:pStyle w:val="ListParagraph"/>
        <w:numPr>
          <w:ilvl w:val="0"/>
          <w:numId w:val="2"/>
        </w:numPr>
        <w:spacing w:after="60" w:line="290"/>
      </w:pPr>
      <w:r>
        <w:rPr>
          <w:rFonts w:ascii="EYInterstate" w:cs="EYInterstate" w:eastAsia="EYInterstate" w:hAnsi="EYInterstate"/>
          <w:b/>
          <w:bCs/>
          <w:color w:val="1A1A24"/>
          <w:sz w:val="21"/>
          <w:szCs w:val="21"/>
        </w:rPr>
        <w:t xml:space="preserve">Gap:</w:t>
      </w:r>
      <w:r>
        <w:rPr>
          <w:rFonts w:ascii="EYInterstate Light" w:cs="EYInterstate Light" w:eastAsia="EYInterstate Light" w:hAnsi="EYInterstate Light"/>
          <w:color w:val="1A1A24"/>
          <w:sz w:val="21"/>
          <w:szCs w:val="21"/>
        </w:rPr>
        <w:t xml:space="preserve"> there are no nature-specific targets or reporting yet. The £70.9bn of sustainable finance is not broken down by nature category, and the flood exposure of the mortgage book is not disclosed.</w:t>
      </w:r>
    </w:p>
    <w:p>
      <w:pPr>
        <w:spacing w:after="120" w:line="300"/>
      </w:pPr>
      <w:r>
        <w:rPr>
          <w:rFonts w:ascii="EYInterstate" w:cs="EYInterstate" w:eastAsia="EYInterstate" w:hAnsi="EYInterstate"/>
          <w:b/>
          <w:bCs/>
          <w:color w:val="1A1A24"/>
          <w:sz w:val="21"/>
          <w:szCs w:val="21"/>
        </w:rPr>
        <w:t xml:space="preserve">Where EY could help:</w:t>
      </w:r>
      <w:r>
        <w:rPr>
          <w:rFonts w:ascii="EYInterstate Light" w:cs="EYInterstate Light" w:eastAsia="EYInterstate Light" w:hAnsi="EYInterstate Light"/>
          <w:color w:val="1A1A24"/>
          <w:sz w:val="21"/>
          <w:szCs w:val="21"/>
        </w:rPr>
        <w:t xml:space="preserve"> portfolio nature and physical-risk assessment, Biodiversity Net Gain and nature markets strategy, water investment pipeline analysis, and a nature baseline for the agriculture book, supported by TNFD-aligned disclosure.</w:t>
      </w:r>
    </w:p>
    <w:p>
      <w:r>
        <w:br w:type="page"/>
      </w:r>
    </w:p>
    <w:p>
      <w:pPr>
        <w:pStyle w:val="Heading1"/>
        <w:pBdr>
          <w:bottom w:val="single" w:color="FFE600" w:sz="12" w:space="6"/>
        </w:pBdr>
        <w:spacing w:after="160" w:before="360"/>
      </w:pPr>
      <w:r>
        <w:t xml:space="preserve">7. Using it for other clients and countries</w:t>
      </w:r>
    </w:p>
    <w:p>
      <w:pPr>
        <w:pStyle w:val="ListParagraph"/>
        <w:numPr>
          <w:ilvl w:val="0"/>
          <w:numId w:val="3"/>
        </w:numPr>
        <w:spacing w:after="60" w:line="290"/>
      </w:pPr>
      <w:r>
        <w:rPr>
          <w:rFonts w:ascii="EYInterstate Light" w:cs="EYInterstate Light" w:eastAsia="EYInterstate Light" w:hAnsi="EYInterstate Light"/>
          <w:color w:val="1A1A24"/>
          <w:sz w:val="21"/>
          <w:szCs w:val="21"/>
        </w:rPr>
        <w:t xml:space="preserve">Copy the master template and select the client’s country.</w:t>
      </w:r>
    </w:p>
    <w:p>
      <w:pPr>
        <w:pStyle w:val="ListParagraph"/>
        <w:numPr>
          <w:ilvl w:val="0"/>
          <w:numId w:val="3"/>
        </w:numPr>
        <w:spacing w:after="60" w:line="290"/>
      </w:pPr>
      <w:r>
        <w:rPr>
          <w:rFonts w:ascii="EYInterstate Light" w:cs="EYInterstate Light" w:eastAsia="EYInterstate Light" w:hAnsi="EYInterstate Light"/>
          <w:color w:val="1A1A24"/>
          <w:sz w:val="21"/>
          <w:szCs w:val="21"/>
        </w:rPr>
        <w:t xml:space="preserve">Upload the client’s public documents to the Copilot agent and follow the eight standard prompts.</w:t>
      </w:r>
    </w:p>
    <w:p>
      <w:pPr>
        <w:pStyle w:val="ListParagraph"/>
        <w:numPr>
          <w:ilvl w:val="0"/>
          <w:numId w:val="3"/>
        </w:numPr>
        <w:spacing w:after="60" w:line="290"/>
      </w:pPr>
      <w:r>
        <w:rPr>
          <w:rFonts w:ascii="EYInterstate Light" w:cs="EYInterstate Light" w:eastAsia="EYInterstate Light" w:hAnsi="EYInterstate Light"/>
          <w:color w:val="1A1A24"/>
          <w:sz w:val="21"/>
          <w:szCs w:val="21"/>
        </w:rPr>
        <w:t xml:space="preserve">Paste Copilot’s tables into the template, review the scores and check that the quality checks pass.</w:t>
      </w:r>
    </w:p>
    <w:p>
      <w:pPr>
        <w:pStyle w:val="ListParagraph"/>
        <w:numPr>
          <w:ilvl w:val="0"/>
          <w:numId w:val="3"/>
        </w:numPr>
        <w:spacing w:after="60" w:line="290"/>
      </w:pPr>
      <w:r>
        <w:rPr>
          <w:rFonts w:ascii="EYInterstate Light" w:cs="EYInterstate Light" w:eastAsia="EYInterstate Light" w:hAnsi="EYInterstate Light"/>
          <w:color w:val="1A1A24"/>
          <w:sz w:val="21"/>
          <w:szCs w:val="21"/>
        </w:rPr>
        <w:t xml:space="preserve">Fill the PowerPoint skeleton from the template’s Deck_Tokens tab.</w:t>
      </w:r>
    </w:p>
    <w:p>
      <w:pPr>
        <w:spacing w:after="60" w:line="300"/>
      </w:pPr>
      <w:r>
        <w:rPr>
          <w:rFonts w:ascii="EYInterstate" w:cs="EYInterstate" w:eastAsia="EYInterstate" w:hAnsi="EYInterstate"/>
          <w:b/>
          <w:bCs/>
          <w:color w:val="1A1A24"/>
          <w:sz w:val="21"/>
          <w:szCs w:val="21"/>
        </w:rPr>
        <w:t xml:space="preserve">Effort:</w:t>
      </w:r>
      <w:r>
        <w:rPr>
          <w:rFonts w:ascii="EYInterstate Light" w:cs="EYInterstate Light" w:eastAsia="EYInterstate Light" w:hAnsi="EYInterstate Light"/>
          <w:color w:val="1A1A24"/>
          <w:sz w:val="21"/>
          <w:szCs w:val="21"/>
        </w:rPr>
        <w:t xml:space="preserve"> about 1 to 2 hours of analyst time per client, mostly reviewing.</w:t>
      </w:r>
    </w:p>
    <w:p>
      <w:pPr>
        <w:spacing w:after="120" w:line="300"/>
      </w:pPr>
      <w:r>
        <w:rPr>
          <w:rFonts w:ascii="EYInterstate" w:cs="EYInterstate" w:eastAsia="EYInterstate" w:hAnsi="EYInterstate"/>
          <w:b/>
          <w:bCs/>
          <w:color w:val="1A1A24"/>
          <w:sz w:val="21"/>
          <w:szCs w:val="21"/>
        </w:rPr>
        <w:t xml:space="preserve">Countries covered today:</w:t>
      </w:r>
      <w:r>
        <w:rPr>
          <w:rFonts w:ascii="EYInterstate Light" w:cs="EYInterstate Light" w:eastAsia="EYInterstate Light" w:hAnsi="EYInterstate Light"/>
          <w:color w:val="1A1A24"/>
          <w:sz w:val="21"/>
          <w:szCs w:val="21"/>
        </w:rPr>
        <w:t xml:space="preserve"> United Kingdom, Canada, Qatar, Saudi Arabia, United Arab Emirates, France, Spain, Germany, Ireland, Portugal and Italy. A new country can be added once its NBSAP commitments are entered in the EY sizing tool.</w:t>
      </w:r>
    </w:p>
    <w:p>
      <w:pPr>
        <w:pStyle w:val="Heading1"/>
        <w:pBdr>
          <w:bottom w:val="single" w:color="FFE600" w:sz="12" w:space="6"/>
        </w:pBdr>
        <w:spacing w:after="160" w:before="360"/>
      </w:pPr>
      <w:r>
        <w:t xml:space="preserve">8. Limitations to keep in mind</w:t>
      </w:r>
    </w:p>
    <w:p>
      <w:pPr>
        <w:pStyle w:val="ListParagraph"/>
        <w:numPr>
          <w:ilvl w:val="0"/>
          <w:numId w:val="2"/>
        </w:numPr>
        <w:spacing w:after="60" w:line="290"/>
      </w:pPr>
      <w:r>
        <w:rPr>
          <w:rFonts w:ascii="EYInterstate" w:cs="EYInterstate" w:eastAsia="EYInterstate" w:hAnsi="EYInterstate"/>
          <w:b/>
          <w:bCs/>
          <w:color w:val="1A1A24"/>
          <w:sz w:val="21"/>
          <w:szCs w:val="21"/>
        </w:rPr>
        <w:t xml:space="preserve">Public information only.</w:t>
      </w:r>
      <w:r>
        <w:rPr>
          <w:rFonts w:ascii="EYInterstate Light" w:cs="EYInterstate Light" w:eastAsia="EYInterstate Light" w:hAnsi="EYInterstate Light"/>
          <w:color w:val="1A1A24"/>
          <w:sz w:val="21"/>
          <w:szCs w:val="21"/>
        </w:rPr>
        <w:t xml:space="preserve"> The client may be doing more than it discloses. Findings should be validated in conversation with the client.</w:t>
      </w:r>
    </w:p>
    <w:p>
      <w:pPr>
        <w:pStyle w:val="ListParagraph"/>
        <w:numPr>
          <w:ilvl w:val="0"/>
          <w:numId w:val="2"/>
        </w:numPr>
        <w:spacing w:after="60" w:line="290"/>
      </w:pPr>
      <w:r>
        <w:rPr>
          <w:rFonts w:ascii="EYInterstate" w:cs="EYInterstate" w:eastAsia="EYInterstate" w:hAnsi="EYInterstate"/>
          <w:b/>
          <w:bCs/>
          <w:color w:val="1A1A24"/>
          <w:sz w:val="21"/>
          <w:szCs w:val="21"/>
        </w:rPr>
        <w:t xml:space="preserve">Judgement is involved.</w:t>
      </w:r>
      <w:r>
        <w:rPr>
          <w:rFonts w:ascii="EYInterstate Light" w:cs="EYInterstate Light" w:eastAsia="EYInterstate Light" w:hAnsi="EYInterstate Light"/>
          <w:color w:val="1A1A24"/>
          <w:sz w:val="21"/>
          <w:szCs w:val="21"/>
        </w:rPr>
        <w:t xml:space="preserve"> Three of the five criteria are scored by the analyst using clear scales. Another analyst could differ by a point, so the rationale is always recorded.</w:t>
      </w:r>
    </w:p>
    <w:p>
      <w:pPr>
        <w:pStyle w:val="ListParagraph"/>
        <w:numPr>
          <w:ilvl w:val="0"/>
          <w:numId w:val="2"/>
        </w:numPr>
        <w:spacing w:after="60" w:line="290"/>
      </w:pPr>
      <w:r>
        <w:rPr>
          <w:rFonts w:ascii="EYInterstate" w:cs="EYInterstate" w:eastAsia="EYInterstate" w:hAnsi="EYInterstate"/>
          <w:b/>
          <w:bCs/>
          <w:color w:val="1A1A24"/>
          <w:sz w:val="21"/>
          <w:szCs w:val="21"/>
        </w:rPr>
        <w:t xml:space="preserve">National data varies.</w:t>
      </w:r>
      <w:r>
        <w:rPr>
          <w:rFonts w:ascii="EYInterstate Light" w:cs="EYInterstate Light" w:eastAsia="EYInterstate Light" w:hAnsi="EYInterstate Light"/>
          <w:color w:val="1A1A24"/>
          <w:sz w:val="21"/>
          <w:szCs w:val="21"/>
        </w:rPr>
        <w:t xml:space="preserve"> Some NBSAPs are older or less detailed (for example Qatar 2015, and none yet for Portugal). This lowers the national scores for every topic in that country.</w:t>
      </w:r>
    </w:p>
    <w:p>
      <w:pPr>
        <w:pStyle w:val="ListParagraph"/>
        <w:numPr>
          <w:ilvl w:val="0"/>
          <w:numId w:val="2"/>
        </w:numPr>
        <w:spacing w:after="60" w:line="290"/>
      </w:pPr>
      <w:r>
        <w:rPr>
          <w:rFonts w:ascii="EYInterstate" w:cs="EYInterstate" w:eastAsia="EYInterstate" w:hAnsi="EYInterstate"/>
          <w:b/>
          <w:bCs/>
          <w:color w:val="1A1A24"/>
          <w:sz w:val="21"/>
          <w:szCs w:val="21"/>
        </w:rPr>
        <w:t xml:space="preserve">Commitment values are indicative.</w:t>
      </w:r>
      <w:r>
        <w:rPr>
          <w:rFonts w:ascii="EYInterstate Light" w:cs="EYInterstate Light" w:eastAsia="EYInterstate Light" w:hAnsi="EYInterstate Light"/>
          <w:color w:val="1A1A24"/>
          <w:sz w:val="21"/>
          <w:szCs w:val="21"/>
        </w:rPr>
        <w:t xml:space="preserve"> They combine programmes with different timeframes, and some may overlap. Use them to compare topics, not as a market size.</w:t>
      </w:r>
    </w:p>
    <w:p>
      <w:pPr>
        <w:pStyle w:val="ListParagraph"/>
        <w:numPr>
          <w:ilvl w:val="0"/>
          <w:numId w:val="2"/>
        </w:numPr>
        <w:spacing w:after="60" w:line="290"/>
      </w:pPr>
      <w:r>
        <w:rPr>
          <w:rFonts w:ascii="EYInterstate" w:cs="EYInterstate" w:eastAsia="EYInterstate" w:hAnsi="EYInterstate"/>
          <w:b/>
          <w:bCs/>
          <w:color w:val="1A1A24"/>
          <w:sz w:val="21"/>
          <w:szCs w:val="21"/>
        </w:rPr>
        <w:t xml:space="preserve">Sector fit.</w:t>
      </w:r>
      <w:r>
        <w:rPr>
          <w:rFonts w:ascii="EYInterstate Light" w:cs="EYInterstate Light" w:eastAsia="EYInterstate Light" w:hAnsi="EYInterstate Light"/>
          <w:color w:val="1A1A24"/>
          <w:sz w:val="21"/>
          <w:szCs w:val="21"/>
        </w:rPr>
        <w:t xml:space="preserve"> The method suits banks and insurers best. For other companies, materiality is judged on operations and supply chain rather than lending.</w:t>
      </w:r>
    </w:p>
    <w:p>
      <w:pPr>
        <w:pStyle w:val="ListParagraph"/>
        <w:numPr>
          <w:ilvl w:val="0"/>
          <w:numId w:val="2"/>
        </w:numPr>
        <w:spacing w:after="60" w:line="290"/>
      </w:pPr>
      <w:r>
        <w:rPr>
          <w:rFonts w:ascii="EYInterstate" w:cs="EYInterstate" w:eastAsia="EYInterstate" w:hAnsi="EYInterstate"/>
          <w:b/>
          <w:bCs/>
          <w:color w:val="1A1A24"/>
          <w:sz w:val="21"/>
          <w:szCs w:val="21"/>
        </w:rPr>
        <w:t xml:space="preserve">Data quality.</w:t>
      </w:r>
      <w:r>
        <w:rPr>
          <w:rFonts w:ascii="EYInterstate Light" w:cs="EYInterstate Light" w:eastAsia="EYInterstate Light" w:hAnsi="EYInterstate Light"/>
          <w:color w:val="1A1A24"/>
          <w:sz w:val="21"/>
          <w:szCs w:val="21"/>
        </w:rPr>
        <w:t xml:space="preserve"> We found and worked around some issues in the sizing tool, such as a currency double-conversion and mismatched tags. These should be fixed at source.</w:t>
      </w:r>
    </w:p>
    <w:p>
      <w:pPr>
        <w:pStyle w:val="Heading1"/>
        <w:pBdr>
          <w:bottom w:val="single" w:color="FFE600" w:sz="12" w:space="6"/>
        </w:pBdr>
        <w:spacing w:after="160" w:before="360"/>
      </w:pPr>
      <w:r>
        <w:t xml:space="preserve">9. Quality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Check</w:t>
            </w:r>
          </w:p>
        </w:tc>
        <w:tc>
          <w:tcPr>
            <w:tcW w:type="dxa" w:w="6026"/>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How</w:t>
            </w:r>
          </w:p>
        </w:tc>
      </w:tr>
      <w:tr>
        <w:trPr>
          <w:cantSplit/>
        </w:trPr>
        <w:tc>
          <w:tcPr>
            <w:tcW w:type="dxa" w:w="30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Quotes are exact</w:t>
            </w:r>
          </w:p>
        </w:tc>
        <w:tc>
          <w:tcPr>
            <w:tcW w:type="dxa" w:w="60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Analyst spot-checks at least 5 quotes per document against the PDF</w:t>
            </w:r>
          </w:p>
        </w:tc>
      </w:tr>
      <w:tr>
        <w:trPr>
          <w:cantSplit/>
        </w:trPr>
        <w:tc>
          <w:tcPr>
            <w:tcW w:type="dxa" w:w="30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Figures match the source</w:t>
            </w:r>
          </w:p>
        </w:tc>
        <w:tc>
          <w:tcPr>
            <w:tcW w:type="dxa" w:w="60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Exposure and target figures compared with the original tables</w:t>
            </w:r>
          </w:p>
        </w:tc>
      </w:tr>
      <w:tr>
        <w:trPr>
          <w:cantSplit/>
        </w:trPr>
        <w:tc>
          <w:tcPr>
            <w:tcW w:type="dxa" w:w="30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All 15 topics scored</w:t>
            </w:r>
          </w:p>
        </w:tc>
        <w:tc>
          <w:tcPr>
            <w:tcW w:type="dxa" w:w="60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Automatic check in the Excel QA tab</w:t>
            </w:r>
          </w:p>
        </w:tc>
      </w:tr>
      <w:tr>
        <w:trPr>
          <w:cantSplit/>
        </w:trPr>
        <w:tc>
          <w:tcPr>
            <w:tcW w:type="dxa" w:w="30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Scoring rules respected</w:t>
            </w:r>
          </w:p>
        </w:tc>
        <w:tc>
          <w:tcPr>
            <w:tcW w:type="dxa" w:w="60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Automatic checks: weights total 100%, action gap cap, valid topic codes</w:t>
            </w:r>
          </w:p>
        </w:tc>
      </w:tr>
      <w:tr>
        <w:trPr>
          <w:cantSplit/>
        </w:trPr>
        <w:tc>
          <w:tcPr>
            <w:tcW w:type="dxa" w:w="30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No leftover placeholders</w:t>
            </w:r>
          </w:p>
        </w:tc>
        <w:tc>
          <w:tcPr>
            <w:tcW w:type="dxa" w:w="60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Search the deck for “{{” before sharing</w:t>
            </w:r>
          </w:p>
        </w:tc>
      </w:tr>
      <w:tr>
        <w:trPr>
          <w:cantSplit/>
        </w:trPr>
        <w:tc>
          <w:tcPr>
            <w:tcW w:type="dxa" w:w="30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Tone</w:t>
            </w:r>
          </w:p>
        </w:tc>
        <w:tc>
          <w:tcPr>
            <w:tcW w:type="dxa" w:w="60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UK English, neutral, no criticism of the client; gaps described as “not disclosed”</w:t>
            </w:r>
          </w:p>
        </w:tc>
      </w:tr>
    </w:tbl>
    <w:p>
      <w:pPr>
        <w:pStyle w:val="Heading1"/>
        <w:pBdr>
          <w:bottom w:val="single" w:color="FFE600" w:sz="12" w:space="6"/>
        </w:pBdr>
        <w:spacing w:after="160" w:before="360"/>
      </w:pPr>
      <w:r>
        <w:t xml:space="preserve">Appendix: Toolkit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File</w:t>
            </w:r>
          </w:p>
        </w:tc>
        <w:tc>
          <w:tcPr>
            <w:tcW w:type="dxa" w:w="5126"/>
            <w:tcBorders>
              <w:top w:val="single" w:color="C4C4CD" w:sz="4"/>
              <w:left w:val="single" w:color="C4C4CD" w:sz="4"/>
              <w:bottom w:val="single" w:color="C4C4CD" w:sz="4"/>
              <w:right w:val="single" w:color="C4C4CD" w:sz="4"/>
            </w:tcBorders>
            <w:shd w:fill="2E2E38" w:color="auto" w:val="clear"/>
            <w:tcMar>
              <w:top w:type="dxa" w:w="80"/>
              <w:left w:type="dxa" w:w="110"/>
              <w:bottom w:type="dxa" w:w="80"/>
              <w:right w:type="dxa" w:w="110"/>
            </w:tcMar>
            <w:vAlign w:val="center"/>
          </w:tcPr>
          <w:p>
            <w:r>
              <w:rPr>
                <w:rFonts w:ascii="EYInterstate" w:cs="EYInterstate" w:eastAsia="EYInterstate" w:hAnsi="EYInterstate"/>
                <w:b/>
                <w:bCs/>
                <w:color w:val="FFE600"/>
                <w:sz w:val="19"/>
                <w:szCs w:val="19"/>
              </w:rPr>
              <w:t xml:space="preserve">Purpose</w:t>
            </w:r>
          </w:p>
        </w:tc>
      </w:tr>
      <w:tr>
        <w:trPr>
          <w:cantSplit/>
        </w:trPr>
        <w:tc>
          <w:tcPr>
            <w:tcW w:type="dxa" w:w="39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00_Playbook.md</w:t>
            </w:r>
          </w:p>
        </w:tc>
        <w:tc>
          <w:tcPr>
            <w:tcW w:type="dxa" w:w="51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Set-up and step-by-step run guide</w:t>
            </w:r>
          </w:p>
        </w:tc>
      </w:tr>
      <w:tr>
        <w:trPr>
          <w:cantSplit/>
        </w:trPr>
        <w:tc>
          <w:tcPr>
            <w:tcW w:type="dxa" w:w="39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01_Agent_Instructions.md</w:t>
            </w:r>
          </w:p>
        </w:tc>
        <w:tc>
          <w:tcPr>
            <w:tcW w:type="dxa" w:w="51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Instructions pasted into the Copilot agent</w:t>
            </w:r>
          </w:p>
        </w:tc>
      </w:tr>
      <w:tr>
        <w:trPr>
          <w:cantSplit/>
        </w:trPr>
        <w:tc>
          <w:tcPr>
            <w:tcW w:type="dxa" w:w="39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02_Methodology_and_Specifications</w:t>
            </w:r>
          </w:p>
        </w:tc>
        <w:tc>
          <w:tcPr>
            <w:tcW w:type="dxa" w:w="51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Detailed rules and table formats (Copilot knowledge file)</w:t>
            </w:r>
          </w:p>
        </w:tc>
      </w:tr>
      <w:tr>
        <w:trPr>
          <w:cantSplit/>
        </w:trPr>
        <w:tc>
          <w:tcPr>
            <w:tcW w:type="dxa" w:w="39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03_Run_Prompts.md</w:t>
            </w:r>
          </w:p>
        </w:tc>
        <w:tc>
          <w:tcPr>
            <w:tcW w:type="dxa" w:w="51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The eight prompts to use, in order</w:t>
            </w:r>
          </w:p>
        </w:tc>
      </w:tr>
      <w:tr>
        <w:trPr>
          <w:cantSplit/>
        </w:trPr>
        <w:tc>
          <w:tcPr>
            <w:tcW w:type="dxa" w:w="39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Nature_Opportunity_Master_Template.xlsx</w:t>
            </w:r>
          </w:p>
        </w:tc>
        <w:tc>
          <w:tcPr>
            <w:tcW w:type="dxa" w:w="51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Workbook: topics, national data, scoring, checks and slide text</w:t>
            </w:r>
          </w:p>
        </w:tc>
      </w:tr>
      <w:tr>
        <w:trPr>
          <w:cantSplit/>
        </w:trPr>
        <w:tc>
          <w:tcPr>
            <w:tcW w:type="dxa" w:w="3900"/>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Nature_Deck_Skeleton_EY.pptx</w:t>
            </w:r>
          </w:p>
        </w:tc>
        <w:tc>
          <w:tcPr>
            <w:tcW w:type="dxa" w:w="5126"/>
            <w:tcBorders>
              <w:top w:val="single" w:color="C4C4CD" w:sz="4"/>
              <w:left w:val="single" w:color="C4C4CD" w:sz="4"/>
              <w:bottom w:val="single" w:color="C4C4CD" w:sz="4"/>
              <w:right w:val="single" w:color="C4C4CD" w:sz="4"/>
            </w:tcBorders>
            <w:shd w:fill="F2F2F2"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Three-slide EY layout with placeholders</w:t>
            </w:r>
          </w:p>
        </w:tc>
      </w:tr>
      <w:tr>
        <w:trPr>
          <w:cantSplit/>
        </w:trPr>
        <w:tc>
          <w:tcPr>
            <w:tcW w:type="dxa" w:w="3900"/>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LBG_UK_NBSAP_Mapping_v2.xlsx and the LBG deck</w:t>
            </w:r>
          </w:p>
        </w:tc>
        <w:tc>
          <w:tcPr>
            <w:tcW w:type="dxa" w:w="5126"/>
            <w:tcBorders>
              <w:top w:val="single" w:color="C4C4CD" w:sz="4"/>
              <w:left w:val="single" w:color="C4C4CD" w:sz="4"/>
              <w:bottom w:val="single" w:color="C4C4CD" w:sz="4"/>
              <w:right w:val="single" w:color="C4C4CD" w:sz="4"/>
            </w:tcBorders>
            <w:shd w:fill="FFFFFF" w:color="auto" w:val="clear"/>
            <w:tcMar>
              <w:top w:type="dxa" w:w="70"/>
              <w:left w:type="dxa" w:w="110"/>
              <w:bottom w:type="dxa" w:w="70"/>
              <w:right w:type="dxa" w:w="110"/>
            </w:tcMar>
            <w:vAlign w:val="center"/>
          </w:tcPr>
          <w:p>
            <w:pPr>
              <w:spacing w:after="0" w:line="270"/>
            </w:pPr>
            <w:r>
              <w:rPr>
                <w:rFonts w:ascii="EYInterstate Light" w:cs="EYInterstate Light" w:eastAsia="EYInterstate Light" w:hAnsi="EYInterstate Light"/>
                <w:color w:val="1A1A24"/>
                <w:sz w:val="19"/>
                <w:szCs w:val="19"/>
              </w:rPr>
              <w:t xml:space="preserve">Pilot worked example</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YInterstate Light" w:cs="EYInterstate Light" w:eastAsia="EYInterstate Light" w:hAnsi="EYInterstate Light"/>
        <w:color w:val="747480"/>
        <w:sz w:val="16"/>
        <w:szCs w:val="16"/>
      </w:rPr>
      <w:t xml:space="preserve">EY CCaSS  |  Proof of concept, for internal discussion  |  Page </w:t>
    </w:r>
    <w:r>
      <w:rPr>
        <w:rFonts w:ascii="EYInterstate Light" w:cs="EYInterstate Light" w:eastAsia="EYInterstate Light" w:hAnsi="EYInterstate Light"/>
        <w:color w:val="7474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EYInterstate Light" w:cs="EYInterstate Light" w:eastAsia="EYInterstate Light" w:hAnsi="EYInterstate Light"/>
        <w:color w:val="747480"/>
        <w:sz w:val="16"/>
        <w:szCs w:val="16"/>
      </w:rPr>
      <w:t xml:space="preserve">Nature Opportunity Assessment  |  Methodology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C9B400"/>
        <w:sz w:val="14"/>
        <w:szCs w:val="14"/>
      </w:r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YInterstate Light" w:cs="EYInterstate Light" w:eastAsia="EYInterstate Light" w:hAnsi="EYInterstate Light"/>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EYInterstate" w:cs="EYInterstate" w:eastAsia="EYInterstate" w:hAnsi="EYInterstate"/>
      <w:b/>
      <w:bCs/>
      <w:color w:val="1A1A24"/>
      <w:sz w:val="32"/>
      <w:szCs w:val="32"/>
    </w:rPr>
  </w:style>
  <w:style w:type="paragraph" w:styleId="Heading2">
    <w:name w:val="Heading 2"/>
    <w:basedOn w:val="Normal"/>
    <w:next w:val="Normal"/>
    <w:qFormat/>
    <w:pPr>
      <w:spacing w:after="100" w:before="240"/>
      <w:outlineLvl w:val="1"/>
    </w:pPr>
    <w:rPr>
      <w:rFonts w:ascii="EYInterstate" w:cs="EYInterstate" w:eastAsia="EYInterstate" w:hAnsi="EYInterstate"/>
      <w:b/>
      <w:bCs/>
      <w:color w:val="1A1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Nature Opportunity Assessment: Methodology</dc:title>
  <dc:creator>EY CCaSS</dc:creator>
  <cp:lastModifiedBy>Un-named</cp:lastModifiedBy>
  <cp:revision>1</cp:revision>
  <dcterms:created xsi:type="dcterms:W3CDTF">2026-10-08T10:15:42.206Z</dcterms:created>
  <dcterms:modified xsi:type="dcterms:W3CDTF">2026-10-08T10:15:42.207Z</dcterms:modified>
</cp:coreProperties>
</file>

<file path=docProps/custom.xml><?xml version="1.0" encoding="utf-8"?>
<Properties xmlns="http://schemas.openxmlformats.org/officeDocument/2006/custom-properties" xmlns:vt="http://schemas.openxmlformats.org/officeDocument/2006/docPropsVTypes"/>
</file>