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  <w:br/>
        <w:t>Proposed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>
      <w:r>
        <w:br/>
        <w:t>Proposed Solution Details: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Farmers and agricultural stakeholders face losses due to unpredictable and region-specific rainfall patterns. There is a lack of accessible, localized insights and simple tools to support crop planning, irrigation scheduling, and agricultural risk assessment.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Develop an Exploratory Data Analysis (EDA) and Machine Learning–based Rainfall Analysis &amp; Prediction System. The solution analyzes historical rainfall data, visualizes trends and variability, and provides predictive outputs via a Flask web application for decision support.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Combines EDA-driven insights with ML prediction in a lightweight web app tailored for Indian regional rainfall patterns. Focuses on actionable visuals and simple UX for non-technical users such as farmers and field officers.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Enables informed crop planning, efficient irrigation, and better preparedness for droughts/floods. Improves farmer confidence and resilience by reducing uncertainty and potential losses.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Freemium access for basic insights; premium dashboards for agribusinesses and institutions. Potential partnerships with agri-tech firms, government programs, and insurance providers.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Scales across regions by adding more datasets; deployable on cloud for wider access. Extensible to integrate real-time weather APIs, mobile-first UI, and crop recommendation modules.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